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20"/>
      </w:pPr>
      <w:r>
        <w:rPr>
          <w:rFonts w:ascii="Times New Roman"/>
        </w:rPr>
        <w:t>ICS</w:t>
      </w:r>
      <w:r>
        <w:rPr>
          <w:rFonts w:hAnsi="黑体"/>
        </w:rPr>
        <w:t> </w:t>
      </w:r>
      <w:bookmarkStart w:id="0" w:name="ICS"/>
      <w:r>
        <w:fldChar w:fldCharType="begin">
          <w:ffData>
            <w:name w:val="ICS"/>
            <w:enabled/>
            <w:calcOnExit w:val="0"/>
            <w:helpText w:type="text" w:val="请输入正确的ICS号："/>
            <w:textInput>
              <w:default w:val="点击此处添加ICS号"/>
            </w:textInput>
          </w:ffData>
        </w:fldChar>
      </w:r>
      <w:r>
        <w:instrText xml:space="preserve"> FORMTEXT </w:instrText>
      </w:r>
      <w:r>
        <w:fldChar w:fldCharType="separate"/>
      </w:r>
      <w:r>
        <w:t>65.020.20</w:t>
      </w:r>
      <w:r>
        <w:fldChar w:fldCharType="end"/>
      </w:r>
      <w:bookmarkEnd w:id="0"/>
    </w:p>
    <w:tbl>
      <w:tblPr>
        <w:tblStyle w:val="37"/>
        <w:tblW w:w="9854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120"/>
            </w:pPr>
            <w:bookmarkStart w:id="1" w:name="WXFLH"/>
            <w:r>
              <w:fldChar w:fldCharType="begin">
                <w:ffData>
                  <w:name w:val="WXFLH"/>
                  <w:enabled/>
                  <w:calcOnExit w:val="0"/>
                  <w:helpText w:type="text" w:val="请输入中国标准文献分类号："/>
                  <w:textInput>
                    <w:default w:val="点击此处添加中国标准文献分类号"/>
                  </w:textInput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t>B 05</w:t>
            </w:r>
            <w:r>
              <w:fldChar w:fldCharType="end"/>
            </w:r>
            <w:bookmarkEnd w:id="1"/>
            <w:r>
              <mc:AlternateContent>
                <mc:Choice Requires="wps">
                  <w:drawing>
                    <wp:anchor distT="0" distB="0" distL="114300" distR="114300" simplePos="0" relativeHeight="251663360" behindDoc="1" locked="0" layoutInCell="1" allowOverlap="1">
                      <wp:simplePos x="0" y="0"/>
                      <wp:positionH relativeFrom="column">
                        <wp:posOffset>-66675</wp:posOffset>
                      </wp:positionH>
                      <wp:positionV relativeFrom="paragraph">
                        <wp:posOffset>0</wp:posOffset>
                      </wp:positionV>
                      <wp:extent cx="866775" cy="198120"/>
                      <wp:effectExtent l="0" t="0" r="0" b="0"/>
                      <wp:wrapNone/>
                      <wp:docPr id="5" name="BAH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866775" cy="1981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BAH" o:spid="_x0000_s1026" o:spt="1" style="position:absolute;left:0pt;margin-left:-5.25pt;margin-top:0pt;height:15.6pt;width:68.25pt;z-index:-251653120;mso-width-relative:page;mso-height-relative:page;" fillcolor="#FFFFFF" filled="t" stroked="f" coordsize="21600,21600" o:gfxdata="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</w:tbl>
    <w:p>
      <w:pPr>
        <w:pStyle w:val="106"/>
      </w:pPr>
      <w:r>
        <w:t>D</w:t>
      </w:r>
      <w:r>
        <w:rPr>
          <w:spacing w:val="100"/>
        </w:rPr>
        <w:t>B</w:t>
      </w:r>
      <w:r>
        <w:rPr>
          <w:rFonts w:hint="eastAsia"/>
          <w:spacing w:val="100"/>
        </w:rPr>
        <w:t>4405</w:t>
      </w:r>
    </w:p>
    <w:p>
      <w:pPr>
        <w:pStyle w:val="107"/>
      </w:pPr>
      <w:bookmarkStart w:id="2" w:name="c4"/>
      <w:r>
        <w:fldChar w:fldCharType="begin">
          <w:ffData>
            <w:name w:val="c4"/>
            <w:enabled/>
            <w:calcOnExit w:val="0"/>
            <w:entryMacro w:val="showhelp12"/>
            <w:textInput/>
          </w:ffData>
        </w:fldChar>
      </w:r>
      <w:r>
        <w:instrText xml:space="preserve"> FORMTEXT </w:instrText>
      </w:r>
      <w:r>
        <w:fldChar w:fldCharType="separate"/>
      </w:r>
      <w:r>
        <w:rPr>
          <w:rFonts w:hint="eastAsia"/>
        </w:rPr>
        <w:t>汕头市</w:t>
      </w:r>
      <w:r>
        <w:fldChar w:fldCharType="end"/>
      </w:r>
      <w:bookmarkEnd w:id="2"/>
      <w:r>
        <w:t>地方标准</w:t>
      </w:r>
    </w:p>
    <w:p>
      <w:pPr>
        <w:pStyle w:val="44"/>
        <w:rPr>
          <w:rFonts w:hAnsi="黑体"/>
        </w:rPr>
      </w:pPr>
      <w:r>
        <w:rPr>
          <w:rFonts w:ascii="Times New Roman"/>
        </w:rPr>
        <w:t>DB</w:t>
      </w:r>
      <w:r>
        <w:rPr>
          <w:rFonts w:hint="eastAsia" w:ascii="Times New Roman"/>
        </w:rPr>
        <w:t>4405/T</w:t>
      </w:r>
      <w:r>
        <w:rPr>
          <w:rFonts w:hint="eastAsia" w:ascii="Times New Roman"/>
          <w:lang w:val="en-US" w:eastAsia="zh-CN"/>
        </w:rPr>
        <w:t xml:space="preserve"> </w:t>
      </w:r>
      <w:r>
        <w:rPr>
          <w:rFonts w:hint="eastAsia" w:hAnsi="黑体"/>
        </w:rPr>
        <w:t>XXX</w:t>
      </w:r>
      <w:r>
        <w:rPr>
          <w:rFonts w:hAnsi="黑体"/>
        </w:rPr>
        <w:t>—</w:t>
      </w:r>
      <w:r>
        <w:rPr>
          <w:rFonts w:hint="eastAsia" w:hAnsi="黑体"/>
        </w:rPr>
        <w:t>20XX</w:t>
      </w:r>
    </w:p>
    <w:tbl>
      <w:tblPr>
        <w:tblStyle w:val="37"/>
        <w:tblW w:w="9356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35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3"/>
              <w:wordWrap w:val="0"/>
              <w:rPr>
                <w:color w:val="FF0000"/>
              </w:rPr>
            </w:pPr>
          </w:p>
        </w:tc>
      </w:tr>
    </w:tbl>
    <w:p>
      <w:pPr>
        <w:pStyle w:val="44"/>
        <w:rPr>
          <w:rFonts w:hAnsi="黑体"/>
        </w:rPr>
      </w:pPr>
    </w:p>
    <w:p>
      <w:pPr>
        <w:pStyle w:val="44"/>
        <w:rPr>
          <w:rFonts w:hAnsi="黑体"/>
        </w:rPr>
      </w:pPr>
    </w:p>
    <w:p>
      <w:pPr>
        <w:pStyle w:val="75"/>
        <w:rPr>
          <w:rFonts w:hint="eastAsia" w:hAnsi="宋体"/>
          <w:color w:val="000000"/>
        </w:rPr>
      </w:pPr>
      <w:r>
        <w:rPr>
          <w:rFonts w:hint="eastAsia" w:hAnsi="宋体"/>
          <w:color w:val="000000"/>
        </w:rPr>
        <w:t>姜荷花生产技术规程</w:t>
      </w:r>
    </w:p>
    <w:p>
      <w:pPr>
        <w:pStyle w:val="75"/>
        <w:rPr>
          <w:rFonts w:hint="eastAsia" w:hAnsi="宋体"/>
          <w:color w:val="000000"/>
        </w:rPr>
      </w:pPr>
    </w:p>
    <w:p>
      <w:pPr>
        <w:pStyle w:val="76"/>
        <w:rPr>
          <w:rFonts w:hint="eastAsia" w:eastAsia="黑体"/>
          <w:lang w:val="en-US" w:eastAsia="zh-CN"/>
        </w:rPr>
      </w:pPr>
      <w:r>
        <w:rPr>
          <w:rFonts w:hint="eastAsia"/>
          <w:lang w:val="en-US" w:eastAsia="zh-CN"/>
        </w:rPr>
        <w:t>（送审稿）</w:t>
      </w:r>
    </w:p>
    <w:p>
      <w:pPr>
        <w:pStyle w:val="77"/>
      </w:pPr>
      <w:r>
        <w:rPr>
          <w:sz w:val="21"/>
          <w:szCs w:val="28"/>
        </w:rPr>
        <w:fldChar w:fldCharType="begin">
          <w:ffData>
            <w:name w:val="CMPLSH_DATE"/>
            <w:enabled/>
            <w:calcOnExit w:val="0"/>
            <w:textInput/>
          </w:ffData>
        </w:fldChar>
      </w:r>
      <w:bookmarkStart w:id="3" w:name="CMPLSH_DATE"/>
      <w:r>
        <w:rPr>
          <w:sz w:val="21"/>
          <w:szCs w:val="28"/>
        </w:rPr>
        <w:instrText xml:space="preserve"> FORMTEXT </w:instrText>
      </w:r>
      <w:r>
        <w:rPr>
          <w:sz w:val="21"/>
          <w:szCs w:val="28"/>
        </w:rPr>
        <w:fldChar w:fldCharType="separate"/>
      </w:r>
      <w:r>
        <w:rPr>
          <w:rFonts w:hint="eastAsia"/>
          <w:sz w:val="21"/>
          <w:szCs w:val="28"/>
        </w:rPr>
        <w:t>（本草案完成时间：202</w:t>
      </w:r>
      <w:r>
        <w:rPr>
          <w:rFonts w:hint="eastAsia"/>
          <w:sz w:val="21"/>
          <w:szCs w:val="28"/>
          <w:lang w:val="en-US" w:eastAsia="zh-CN"/>
        </w:rPr>
        <w:t>4</w:t>
      </w:r>
      <w:r>
        <w:rPr>
          <w:rFonts w:hint="eastAsia"/>
          <w:sz w:val="21"/>
          <w:szCs w:val="28"/>
        </w:rPr>
        <w:t>.</w:t>
      </w:r>
      <w:r>
        <w:rPr>
          <w:rFonts w:hint="eastAsia"/>
          <w:sz w:val="21"/>
          <w:szCs w:val="28"/>
          <w:lang w:val="en-US" w:eastAsia="zh-CN"/>
        </w:rPr>
        <w:t>8.2</w:t>
      </w:r>
      <w:r>
        <w:rPr>
          <w:rFonts w:hint="eastAsia"/>
          <w:sz w:val="21"/>
          <w:szCs w:val="28"/>
        </w:rPr>
        <w:t>）</w:t>
      </w:r>
      <w:r>
        <w:rPr>
          <w:sz w:val="21"/>
          <w:szCs w:val="28"/>
        </w:rPr>
        <w:fldChar w:fldCharType="end"/>
      </w:r>
      <w:bookmarkEnd w:id="3"/>
    </w:p>
    <w:tbl>
      <w:tblPr>
        <w:tblStyle w:val="37"/>
        <w:tblW w:w="9855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5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8"/>
            </w:pPr>
            <w:r>
              <mc:AlternateContent>
                <mc:Choice Requires="wps">
                  <w:drawing>
                    <wp:anchor distT="0" distB="0" distL="114300" distR="114300" simplePos="0" relativeHeight="251662336" behindDoc="1" locked="1" layoutInCell="1" allowOverlap="1">
                      <wp:simplePos x="0" y="0"/>
                      <wp:positionH relativeFrom="column">
                        <wp:posOffset>2200910</wp:posOffset>
                      </wp:positionH>
                      <wp:positionV relativeFrom="paragraph">
                        <wp:posOffset>573405</wp:posOffset>
                      </wp:positionV>
                      <wp:extent cx="1905000" cy="254000"/>
                      <wp:effectExtent l="0" t="0" r="0" b="0"/>
                      <wp:wrapNone/>
                      <wp:docPr id="4" name="RQ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905000" cy="2540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RQ" o:spid="_x0000_s1026" o:spt="1" style="position:absolute;left:0pt;margin-left:173.3pt;margin-top:45.15pt;height:20pt;width:150pt;z-index:-251654144;mso-width-relative:page;mso-height-relative:page;" fillcolor="#FFFFFF" filled="t" stroked="f" coordsize="21600,21600" o:gfxdata="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">
                      <v:fill on="t" focussize="0,0"/>
                      <v:stroke on="f"/>
                      <v:imagedata o:title=""/>
                      <o:lock v:ext="edit" aspectratio="f"/>
                      <w10:anchorlock/>
                    </v:rect>
                  </w:pict>
                </mc:Fallback>
              </mc:AlternateContent>
            </w:r>
            <w:r>
              <mc:AlternateContent>
                <mc:Choice Requires="wps">
                  <w:drawing>
                    <wp:anchor distT="0" distB="0" distL="114300" distR="114300" simplePos="0" relativeHeight="251661312" behindDoc="1" locked="0" layoutInCell="1" allowOverlap="1">
                      <wp:simplePos x="0" y="0"/>
                      <wp:positionH relativeFrom="column">
                        <wp:posOffset>2454910</wp:posOffset>
                      </wp:positionH>
                      <wp:positionV relativeFrom="paragraph">
                        <wp:posOffset>255905</wp:posOffset>
                      </wp:positionV>
                      <wp:extent cx="1270000" cy="304800"/>
                      <wp:effectExtent l="0" t="0" r="0" b="0"/>
                      <wp:wrapNone/>
                      <wp:docPr id="3" name="LB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0000" cy="304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</wps:spPr>
                            <wps:bodyPr upright="1"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rect id="LB" o:spid="_x0000_s1026" o:spt="1" style="position:absolute;left:0pt;margin-left:193.3pt;margin-top:20.15pt;height:24pt;width:100pt;z-index:-251655168;mso-width-relative:page;mso-height-relative:page;" fillcolor="#FFFFFF" filled="t" stroked="f" coordsize="21600,21600" o:gfxdata="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">
                      <v:fill on="t" focussize="0,0"/>
                      <v:stroke on="f"/>
                      <v:imagedata o:title=""/>
                      <o:lock v:ext="edit" aspectratio="f"/>
                    </v:rect>
                  </w:pict>
                </mc:Fallback>
              </mc:AlternateConten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>
            <w:pPr>
              <w:pStyle w:val="79"/>
            </w:pPr>
          </w:p>
        </w:tc>
      </w:tr>
    </w:tbl>
    <w:p>
      <w:pPr>
        <w:pStyle w:val="127"/>
      </w:pPr>
      <w:r>
        <w:rPr>
          <w:rFonts w:hint="eastAsia" w:ascii="黑体"/>
        </w:rPr>
        <w:t>20XX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rPr>
          <w:rFonts w:hint="eastAsia"/>
        </w:rPr>
        <w:t>发布</w:t>
      </w:r>
      <w:r>
        <mc:AlternateContent>
          <mc:Choice Requires="wps">
            <w:drawing>
              <wp:anchor distT="0" distB="0" distL="114300" distR="114300" simplePos="0" relativeHeight="251660288" behindDoc="0" locked="1" layoutInCell="1" allowOverlap="1">
                <wp:simplePos x="0" y="0"/>
                <wp:positionH relativeFrom="column">
                  <wp:posOffset>-635</wp:posOffset>
                </wp:positionH>
                <wp:positionV relativeFrom="page">
                  <wp:posOffset>9251950</wp:posOffset>
                </wp:positionV>
                <wp:extent cx="6120130" cy="0"/>
                <wp:effectExtent l="0" t="4445" r="0" b="5080"/>
                <wp:wrapNone/>
                <wp:docPr id="1" name="直线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120130" cy="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9B4A45"/>
                          </a:solidFill>
                          <a:prstDash val="solid"/>
                          <a:headEnd type="none" w="med" len="med"/>
                          <a:tailEnd type="none" w="med" len="med"/>
                        </a:ln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直线 2" o:spid="_x0000_s1026" o:spt="20" style="position:absolute;left:0pt;margin-left:-0.05pt;margin-top:728.5pt;height:0pt;width:481.9pt;mso-position-vertical-relative:page;z-index:251660288;mso-width-relative:page;mso-height-relative:page;" filled="f" stroked="t" coordsize="21600,21600" o:gfxdata="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AAAAA&#10;ZHJzL1BLAQIUABQAAAAIAIdO4kAeZ5U22AAAAAsBAAAPAAAAAAAAAAEAIAAAACIAAABkcnMvZG93&#10;bnJldi54bWxQSwECFAAUAAAACACHTuJAuDfXQscBAACBAwAADgAAAAAAAAABACAAAAAnAQAAZHJz&#10;L2Uyb0RvYy54bWxQSwUGAAAAAAYABgBZAQAAYAUAAAAA&#10;">
                <v:fill on="f" focussize="0,0"/>
                <v:stroke color="#9B4A45" joinstyle="round"/>
                <v:imagedata o:title=""/>
                <o:lock v:ext="edit" aspectratio="f"/>
                <w10:anchorlock/>
              </v:line>
            </w:pict>
          </mc:Fallback>
        </mc:AlternateContent>
      </w:r>
    </w:p>
    <w:p>
      <w:pPr>
        <w:pStyle w:val="128"/>
      </w:pPr>
      <w:r>
        <w:rPr>
          <w:rFonts w:hint="eastAsia" w:ascii="黑体"/>
        </w:rPr>
        <w:t>20XX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t xml:space="preserve"> </w:t>
      </w:r>
      <w:r>
        <w:rPr>
          <w:rFonts w:ascii="黑体"/>
        </w:rPr>
        <w:t>-</w:t>
      </w:r>
      <w:r>
        <w:t xml:space="preserve"> </w:t>
      </w:r>
      <w:r>
        <w:rPr>
          <w:rFonts w:hint="eastAsia" w:ascii="黑体"/>
        </w:rPr>
        <w:t>XX</w:t>
      </w:r>
      <w:r>
        <w:rPr>
          <w:rFonts w:hint="eastAsia"/>
        </w:rPr>
        <w:t>实施</w:t>
      </w:r>
    </w:p>
    <w:p>
      <w:pPr>
        <w:pStyle w:val="108"/>
        <w:rPr>
          <w:rFonts w:hint="eastAsia"/>
        </w:rPr>
        <w:sectPr>
          <w:headerReference r:id="rId3" w:type="default"/>
          <w:footerReference r:id="rId5" w:type="default"/>
          <w:headerReference r:id="rId4" w:type="even"/>
          <w:footerReference r:id="rId6" w:type="even"/>
          <w:pgSz w:w="11906" w:h="16838"/>
          <w:pgMar w:top="567" w:right="1134" w:bottom="1134" w:left="1418" w:header="1418" w:footer="1134" w:gutter="0"/>
          <w:pgNumType w:fmt="decimal" w:start="1"/>
          <w:cols w:space="425" w:num="1"/>
          <w:formProt w:val="0"/>
          <w:docGrid w:type="lines" w:linePitch="312" w:charSpace="0"/>
        </w:sectPr>
      </w:pPr>
      <w:bookmarkStart w:id="4" w:name="fm"/>
      <w: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-397510</wp:posOffset>
                </wp:positionH>
                <wp:positionV relativeFrom="paragraph">
                  <wp:posOffset>-7083425</wp:posOffset>
                </wp:positionV>
                <wp:extent cx="5913755" cy="15875"/>
                <wp:effectExtent l="0" t="4445" r="10795" b="8255"/>
                <wp:wrapNone/>
                <wp:docPr id="7" name="直接连接符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966470" y="2637790"/>
                          <a:ext cx="5913755" cy="15875"/>
                        </a:xfrm>
                        <a:prstGeom prst="line">
                          <a:avLst/>
                        </a:prstGeom>
                        <a:ln w="9525">
                          <a:solidFill>
                            <a:schemeClr val="accent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rgbClr val="FFFFFF"/>
                        </a:fillRef>
                        <a:effectRef idx="0">
                          <a:srgbClr val="FFFFFF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flip:y;margin-left:-31.3pt;margin-top:-557.75pt;height:1.25pt;width:465.65pt;z-index:251662336;mso-width-relative:page;mso-height-relative:page;" filled="f" stroked="t" coordsize="21600,21600" o:gfxdata="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">
                <v:fill on="f" focussize="0,0"/>
                <v:stroke color="#953735 [2405]" joinstyle="round"/>
                <v:imagedata o:title=""/>
                <o:lock v:ext="edit" aspectratio="f"/>
              </v:line>
            </w:pict>
          </mc:Fallback>
        </mc:AlternateContent>
      </w:r>
      <w:r>
        <w:rPr>
          <w:rFonts w:hint="eastAsia"/>
        </w:rPr>
        <w:fldChar w:fldCharType="begin">
          <w:ffData>
            <w:name w:val="fm"/>
            <w:enabled/>
            <w:calcOnExit w:val="0"/>
            <w:textInput>
              <w:default w:val="汕头市市场监督管理局"/>
            </w:textInput>
          </w:ffData>
        </w:fldChar>
      </w:r>
      <w:r>
        <w:rPr>
          <w:rFonts w:hint="eastAsia"/>
        </w:rPr>
        <w:instrText xml:space="preserve">FORMTEXT</w:instrText>
      </w:r>
      <w:r>
        <w:rPr>
          <w:rFonts w:hint="eastAsia"/>
        </w:rPr>
        <w:fldChar w:fldCharType="separate"/>
      </w:r>
      <w:r>
        <w:rPr>
          <w:rFonts w:hint="eastAsia"/>
        </w:rPr>
        <w:t>汕头市市场监督管理局</w:t>
      </w:r>
      <w:r>
        <w:rPr>
          <w:rFonts w:hint="eastAsia"/>
        </w:rPr>
        <w:fldChar w:fldCharType="end"/>
      </w:r>
      <w:bookmarkEnd w:id="4"/>
      <w:r>
        <w:rPr>
          <w:rStyle w:val="70"/>
        </w:rPr>
        <w:t xml:space="preserve"> </w:t>
      </w:r>
      <w:r>
        <w:rPr>
          <w:rStyle w:val="70"/>
          <w:rFonts w:hint="eastAsia"/>
        </w:rPr>
        <w:t>发布</w:t>
      </w:r>
    </w:p>
    <w:p>
      <w:pPr>
        <w:pStyle w:val="109"/>
      </w:pPr>
      <w:r>
        <w:rPr>
          <w:rFonts w:hint="eastAsia"/>
        </w:rPr>
        <w:t>前</w:t>
      </w:r>
      <w:bookmarkStart w:id="5" w:name="BKQY"/>
      <w:r>
        <w:rPr>
          <w:rFonts w:hAnsi="黑体"/>
        </w:rPr>
        <w:t>  </w:t>
      </w:r>
      <w:r>
        <w:rPr>
          <w:rFonts w:hint="eastAsia"/>
        </w:rPr>
        <w:t>言</w:t>
      </w:r>
      <w:bookmarkEnd w:id="5"/>
    </w:p>
    <w:p>
      <w:pPr>
        <w:pStyle w:val="21"/>
        <w:rPr>
          <w:rFonts w:hint="eastAsia" w:ascii="Times New Roman"/>
        </w:rPr>
      </w:pPr>
      <w:r>
        <w:rPr>
          <w:rFonts w:hint="eastAsia" w:ascii="Times New Roman" w:eastAsiaTheme="minorEastAsia"/>
          <w:lang w:eastAsia="zh-CN"/>
        </w:rPr>
        <w:t>本文件</w:t>
      </w:r>
      <w:r>
        <w:rPr>
          <w:rFonts w:hint="eastAsia" w:asciiTheme="minorEastAsia" w:hAnsiTheme="minorEastAsia" w:eastAsiaTheme="minorEastAsia"/>
        </w:rPr>
        <w:t>按</w:t>
      </w:r>
      <w:r>
        <w:rPr>
          <w:rFonts w:asciiTheme="minorEastAsia" w:hAnsiTheme="minorEastAsia" w:eastAsiaTheme="minorEastAsia"/>
        </w:rPr>
        <w:t>GB/T</w:t>
      </w:r>
      <w:r>
        <w:rPr>
          <w:rFonts w:hint="eastAsia" w:asciiTheme="minorEastAsia" w:hAnsiTheme="minorEastAsia" w:eastAsiaTheme="minorEastAsia"/>
        </w:rPr>
        <w:t xml:space="preserve"> </w:t>
      </w:r>
      <w:r>
        <w:rPr>
          <w:rFonts w:asciiTheme="minorEastAsia" w:hAnsiTheme="minorEastAsia" w:eastAsiaTheme="minorEastAsia"/>
        </w:rPr>
        <w:t>1.1-20</w:t>
      </w:r>
      <w:r>
        <w:rPr>
          <w:rFonts w:hint="eastAsia" w:asciiTheme="minorEastAsia" w:hAnsiTheme="minorEastAsia" w:eastAsiaTheme="minorEastAsia"/>
        </w:rPr>
        <w:t>20《标准化工作导则  第1部分：标准化文件的结构和起草规则》</w:t>
      </w:r>
      <w:r>
        <w:rPr>
          <w:rFonts w:hint="eastAsia" w:ascii="Times New Roman"/>
        </w:rPr>
        <w:t>的规则起草。</w:t>
      </w:r>
    </w:p>
    <w:p>
      <w:pPr>
        <w:pStyle w:val="21"/>
        <w:rPr>
          <w:rFonts w:hint="eastAsia" w:ascii="Times New Roman"/>
        </w:rPr>
      </w:pPr>
      <w:r>
        <w:rPr>
          <w:rFonts w:hint="eastAsia" w:ascii="Times New Roman"/>
          <w:lang w:eastAsia="zh-CN"/>
        </w:rPr>
        <w:t>本文件</w:t>
      </w:r>
      <w:r>
        <w:rPr>
          <w:rFonts w:hint="eastAsia" w:ascii="Times New Roman"/>
        </w:rPr>
        <w:t>的某些内容可能涉及专利。</w:t>
      </w:r>
      <w:r>
        <w:rPr>
          <w:rFonts w:hint="eastAsia" w:ascii="Times New Roman"/>
          <w:lang w:eastAsia="zh-CN"/>
        </w:rPr>
        <w:t>本文件</w:t>
      </w:r>
      <w:r>
        <w:rPr>
          <w:rFonts w:hint="eastAsia" w:ascii="Times New Roman"/>
        </w:rPr>
        <w:t>的发布机构不承担识别专利的责任。</w:t>
      </w:r>
    </w:p>
    <w:p>
      <w:pPr>
        <w:widowControl/>
        <w:autoSpaceDE w:val="0"/>
        <w:autoSpaceDN w:val="0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  <w:lang w:eastAsia="zh-CN"/>
        </w:rPr>
        <w:t>本文件</w:t>
      </w:r>
      <w:r>
        <w:rPr>
          <w:rFonts w:hint="eastAsia"/>
          <w:kern w:val="0"/>
          <w:szCs w:val="20"/>
        </w:rPr>
        <w:t>由汕头市市场监督管理局提出</w:t>
      </w:r>
      <w:r>
        <w:rPr>
          <w:rFonts w:hint="eastAsia"/>
          <w:kern w:val="0"/>
          <w:szCs w:val="20"/>
          <w:lang w:val="en-US" w:eastAsia="zh-CN"/>
        </w:rPr>
        <w:t>并归口</w:t>
      </w:r>
      <w:r>
        <w:rPr>
          <w:rFonts w:hint="eastAsia"/>
          <w:kern w:val="0"/>
          <w:szCs w:val="20"/>
        </w:rPr>
        <w:t>。</w:t>
      </w:r>
    </w:p>
    <w:p>
      <w:pPr>
        <w:widowControl/>
        <w:autoSpaceDE w:val="0"/>
        <w:autoSpaceDN w:val="0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  <w:lang w:eastAsia="zh-CN"/>
        </w:rPr>
        <w:t>本文件</w:t>
      </w:r>
      <w:r>
        <w:rPr>
          <w:rFonts w:hint="eastAsia"/>
        </w:rPr>
        <w:t>首次发布。</w:t>
      </w:r>
    </w:p>
    <w:p>
      <w:pPr>
        <w:widowControl/>
        <w:autoSpaceDE w:val="0"/>
        <w:autoSpaceDN w:val="0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  <w:lang w:eastAsia="zh-CN"/>
        </w:rPr>
        <w:t>本文件</w:t>
      </w:r>
      <w:r>
        <w:rPr>
          <w:rFonts w:hint="eastAsia"/>
          <w:kern w:val="0"/>
          <w:szCs w:val="20"/>
        </w:rPr>
        <w:t>起草单位：汕头市农业科学研究所。</w:t>
      </w:r>
    </w:p>
    <w:p>
      <w:pPr>
        <w:widowControl/>
        <w:autoSpaceDE w:val="0"/>
        <w:autoSpaceDN w:val="0"/>
        <w:ind w:firstLine="420" w:firstLineChars="200"/>
        <w:rPr>
          <w:kern w:val="0"/>
          <w:szCs w:val="20"/>
        </w:rPr>
      </w:pPr>
      <w:r>
        <w:rPr>
          <w:rFonts w:hint="eastAsia"/>
          <w:kern w:val="0"/>
          <w:szCs w:val="20"/>
          <w:lang w:eastAsia="zh-CN"/>
        </w:rPr>
        <w:t>本文件</w:t>
      </w:r>
      <w:r>
        <w:rPr>
          <w:rFonts w:hint="eastAsia"/>
          <w:kern w:val="0"/>
          <w:szCs w:val="20"/>
        </w:rPr>
        <w:t>主要起草人：郑运欢、江秀娜、曾宝珰、陈丽、陈俊生、汤楷、林汉锐、郑丹虹、陈爱华、陈桂玲、苏镇祥、林</w:t>
      </w:r>
      <w:r>
        <w:rPr>
          <w:rFonts w:hint="eastAsia"/>
          <w:kern w:val="0"/>
          <w:szCs w:val="20"/>
          <w:lang w:val="en-US" w:eastAsia="zh-CN"/>
        </w:rPr>
        <w:t>天</w:t>
      </w:r>
      <w:r>
        <w:rPr>
          <w:rFonts w:hint="eastAsia"/>
          <w:kern w:val="0"/>
          <w:szCs w:val="20"/>
        </w:rPr>
        <w:t>友、陈春来。</w:t>
      </w:r>
    </w:p>
    <w:p>
      <w:pPr>
        <w:widowControl/>
        <w:autoSpaceDE w:val="0"/>
        <w:autoSpaceDN w:val="0"/>
        <w:snapToGrid w:val="0"/>
        <w:jc w:val="center"/>
        <w:rPr>
          <w:rFonts w:hint="eastAsia" w:ascii="黑体" w:hAnsi="黑体" w:eastAsia="黑体" w:cs="黑体"/>
        </w:rPr>
        <w:sectPr>
          <w:headerReference r:id="rId7" w:type="default"/>
          <w:footerReference r:id="rId9" w:type="default"/>
          <w:headerReference r:id="rId8" w:type="even"/>
          <w:footerReference r:id="rId10" w:type="even"/>
          <w:pgSz w:w="11906" w:h="16838"/>
          <w:pgMar w:top="567" w:right="1134" w:bottom="1134" w:left="1418" w:header="1418" w:footer="1134" w:gutter="0"/>
          <w:pgNumType w:fmt="decimal" w:start="1"/>
          <w:cols w:space="425" w:num="1"/>
          <w:formProt w:val="0"/>
          <w:docGrid w:type="lines" w:linePitch="312" w:charSpace="0"/>
        </w:sectPr>
      </w:pPr>
    </w:p>
    <w:p>
      <w:pPr>
        <w:widowControl/>
        <w:autoSpaceDE w:val="0"/>
        <w:autoSpaceDN w:val="0"/>
        <w:snapToGrid w:val="0"/>
        <w:jc w:val="center"/>
        <w:rPr>
          <w:rFonts w:ascii="黑体" w:hAnsi="黑体" w:eastAsia="黑体" w:cs="黑体"/>
        </w:rPr>
      </w:pPr>
      <w:sdt>
        <w:sdtPr>
          <w:rPr>
            <w:rFonts w:hint="eastAsia" w:ascii="黑体" w:hAnsi="黑体" w:eastAsia="黑体" w:cs="黑体"/>
          </w:rPr>
          <w:alias w:val="标准名称"/>
          <w:tag w:val="标准名称"/>
          <w:id w:val="1795105741"/>
          <w:lock w:val="sdtLocked"/>
          <w:placeholder>
            <w:docPart w:val="111"/>
          </w:placeholder>
          <w:text w:multiLine="1"/>
        </w:sdtPr>
        <w:sdtEndPr>
          <w:rPr>
            <w:rFonts w:hint="eastAsia" w:ascii="黑体" w:hAnsi="黑体" w:eastAsia="黑体" w:cs="黑体"/>
          </w:rPr>
        </w:sdtEndPr>
        <w:sdtContent>
          <w:r>
            <w:rPr>
              <w:rFonts w:hint="eastAsia" w:ascii="黑体" w:hAnsi="黑体" w:eastAsia="黑体" w:cs="黑体"/>
              <w:sz w:val="32"/>
              <w:szCs w:val="32"/>
            </w:rPr>
            <w:t>姜荷花生产技术规程</w:t>
          </w:r>
        </w:sdtContent>
      </w:sdt>
      <w:bookmarkStart w:id="6" w:name="StandardName"/>
      <w:bookmarkEnd w:id="6"/>
    </w:p>
    <w:p>
      <w:pPr>
        <w:pStyle w:val="42"/>
        <w:snapToGrid w:val="0"/>
        <w:spacing w:before="156" w:beforeLines="50" w:after="102" w:afterLines="33"/>
      </w:pPr>
      <w:bookmarkStart w:id="7" w:name="_Toc25142610"/>
      <w:bookmarkStart w:id="8" w:name="_Toc25136188"/>
      <w:bookmarkStart w:id="9" w:name="_Toc71705310"/>
      <w:r>
        <w:rPr>
          <w:rFonts w:hint="eastAsia"/>
        </w:rPr>
        <w:t>范围</w:t>
      </w:r>
      <w:bookmarkEnd w:id="7"/>
      <w:bookmarkEnd w:id="8"/>
      <w:bookmarkEnd w:id="9"/>
    </w:p>
    <w:p>
      <w:pPr>
        <w:pStyle w:val="21"/>
        <w:snapToGrid w:val="0"/>
        <w:rPr>
          <w:color w:val="auto"/>
        </w:rPr>
      </w:pPr>
      <w:r>
        <w:rPr>
          <w:rFonts w:hint="eastAsia"/>
          <w:color w:val="auto"/>
          <w:lang w:eastAsia="zh-CN"/>
        </w:rPr>
        <w:t>本文件</w:t>
      </w:r>
      <w:r>
        <w:rPr>
          <w:rFonts w:hint="eastAsia"/>
          <w:color w:val="auto"/>
        </w:rPr>
        <w:t>规定了姜荷花（</w:t>
      </w:r>
      <w:r>
        <w:rPr>
          <w:rFonts w:hint="eastAsia"/>
          <w:i/>
          <w:iCs/>
          <w:color w:val="auto"/>
        </w:rPr>
        <w:t>Curcuma alismatifolia</w:t>
      </w:r>
      <w:r>
        <w:rPr>
          <w:rFonts w:hint="eastAsia"/>
          <w:i/>
          <w:iCs/>
          <w:color w:val="auto"/>
          <w:lang w:val="en-US" w:eastAsia="zh-CN"/>
        </w:rPr>
        <w:t xml:space="preserve"> </w:t>
      </w:r>
      <w:r>
        <w:rPr>
          <w:rFonts w:hint="eastAsia"/>
          <w:i w:val="0"/>
          <w:iCs w:val="0"/>
          <w:color w:val="auto"/>
        </w:rPr>
        <w:t>Gagnep</w:t>
      </w:r>
      <w:r>
        <w:rPr>
          <w:rFonts w:hint="eastAsia"/>
          <w:i/>
          <w:iCs/>
          <w:color w:val="auto"/>
        </w:rPr>
        <w:t>.</w:t>
      </w:r>
      <w:r>
        <w:rPr>
          <w:rFonts w:hint="eastAsia"/>
          <w:color w:val="auto"/>
        </w:rPr>
        <w:t>）的</w:t>
      </w:r>
      <w:r>
        <w:rPr>
          <w:rFonts w:hint="eastAsia"/>
          <w:color w:val="auto"/>
          <w:lang w:val="en-US" w:eastAsia="zh-CN"/>
        </w:rPr>
        <w:t>组培苗</w:t>
      </w:r>
      <w:r>
        <w:rPr>
          <w:rFonts w:hint="eastAsia"/>
          <w:color w:val="auto"/>
        </w:rPr>
        <w:t>繁育、</w:t>
      </w:r>
      <w:r>
        <w:rPr>
          <w:rFonts w:hint="eastAsia"/>
          <w:color w:val="auto"/>
          <w:lang w:val="en-US" w:eastAsia="zh-CN"/>
        </w:rPr>
        <w:t>种球培育、</w:t>
      </w:r>
      <w:r>
        <w:rPr>
          <w:rFonts w:hint="eastAsia"/>
          <w:color w:val="auto"/>
        </w:rPr>
        <w:t>采收、</w:t>
      </w:r>
      <w:r>
        <w:rPr>
          <w:rFonts w:hint="eastAsia"/>
          <w:color w:val="auto"/>
          <w:lang w:val="en-US" w:eastAsia="zh-CN"/>
        </w:rPr>
        <w:t>分级、</w:t>
      </w:r>
      <w:r>
        <w:rPr>
          <w:rFonts w:hint="eastAsia"/>
          <w:color w:val="auto"/>
        </w:rPr>
        <w:t>包装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</w:rPr>
        <w:t>运输等</w:t>
      </w:r>
      <w:r>
        <w:rPr>
          <w:rFonts w:hint="eastAsia"/>
          <w:color w:val="auto"/>
          <w:lang w:val="en-US" w:eastAsia="zh-CN"/>
        </w:rPr>
        <w:t>技术要求</w:t>
      </w:r>
      <w:r>
        <w:rPr>
          <w:rFonts w:hint="eastAsia"/>
          <w:color w:val="auto"/>
        </w:rPr>
        <w:t>。</w:t>
      </w:r>
    </w:p>
    <w:p>
      <w:pPr>
        <w:pStyle w:val="21"/>
        <w:snapToGrid w:val="0"/>
        <w:rPr>
          <w:color w:val="auto"/>
        </w:rPr>
      </w:pPr>
      <w:r>
        <w:rPr>
          <w:rFonts w:hint="eastAsia"/>
          <w:color w:val="auto"/>
          <w:lang w:eastAsia="zh-CN"/>
        </w:rPr>
        <w:t>本文件</w:t>
      </w:r>
      <w:r>
        <w:rPr>
          <w:rFonts w:hint="eastAsia"/>
          <w:color w:val="auto"/>
        </w:rPr>
        <w:t>适用于汕头地区姜荷花的</w:t>
      </w:r>
      <w:r>
        <w:rPr>
          <w:rFonts w:hint="eastAsia"/>
          <w:color w:val="auto"/>
          <w:lang w:val="en-US" w:eastAsia="zh-CN"/>
        </w:rPr>
        <w:t>组培苗及种球</w:t>
      </w:r>
      <w:r>
        <w:rPr>
          <w:rFonts w:hint="eastAsia"/>
          <w:color w:val="auto"/>
        </w:rPr>
        <w:t>生产，生态环境和栽培条件相似的地方可参照执行。</w:t>
      </w:r>
    </w:p>
    <w:p>
      <w:pPr>
        <w:pStyle w:val="42"/>
        <w:snapToGrid w:val="0"/>
        <w:spacing w:before="156" w:beforeLines="50" w:after="102" w:afterLines="33"/>
      </w:pPr>
      <w:bookmarkStart w:id="10" w:name="_Toc25136189"/>
      <w:bookmarkStart w:id="11" w:name="_Toc25142611"/>
      <w:bookmarkStart w:id="12" w:name="_Toc71705311"/>
      <w:r>
        <w:rPr>
          <w:rFonts w:hint="eastAsia"/>
        </w:rPr>
        <w:t>规范性引用文件</w:t>
      </w:r>
    </w:p>
    <w:p>
      <w:pPr>
        <w:pStyle w:val="21"/>
        <w:snapToGrid w:val="0"/>
        <w:spacing w:after="106" w:afterLines="34"/>
      </w:pPr>
      <w:r>
        <w:rPr>
          <w:rFonts w:hint="eastAsia"/>
        </w:rPr>
        <w:t>下列文件对于</w:t>
      </w:r>
      <w:r>
        <w:rPr>
          <w:rFonts w:hint="eastAsia"/>
          <w:lang w:eastAsia="zh-CN"/>
        </w:rPr>
        <w:t>本文件</w:t>
      </w:r>
      <w:r>
        <w:rPr>
          <w:rFonts w:hint="eastAsia"/>
        </w:rPr>
        <w:t>的应用必不可少。注日期的引用文件，仅</w:t>
      </w:r>
      <w:r>
        <w:rPr>
          <w:rFonts w:hint="eastAsia"/>
          <w:lang w:val="en-US" w:eastAsia="zh-CN"/>
        </w:rPr>
        <w:t>与</w:t>
      </w:r>
      <w:r>
        <w:rPr>
          <w:rFonts w:hint="eastAsia"/>
        </w:rPr>
        <w:t>日期</w:t>
      </w:r>
      <w:r>
        <w:rPr>
          <w:rFonts w:hint="eastAsia"/>
          <w:lang w:val="en-US" w:eastAsia="zh-CN"/>
        </w:rPr>
        <w:t>对应</w:t>
      </w:r>
      <w:r>
        <w:rPr>
          <w:rFonts w:hint="eastAsia"/>
        </w:rPr>
        <w:t>的版本适用于</w:t>
      </w:r>
      <w:r>
        <w:rPr>
          <w:rFonts w:hint="eastAsia"/>
          <w:lang w:eastAsia="zh-CN"/>
        </w:rPr>
        <w:t>本文件</w:t>
      </w:r>
      <w:r>
        <w:rPr>
          <w:rFonts w:hint="eastAsia"/>
        </w:rPr>
        <w:t>。不注日期的引用文件，其最新版本（包括所有的修改单）适用于</w:t>
      </w:r>
      <w:r>
        <w:rPr>
          <w:rFonts w:hint="eastAsia"/>
          <w:lang w:eastAsia="zh-CN"/>
        </w:rPr>
        <w:t>本文件</w:t>
      </w:r>
      <w:r>
        <w:rPr>
          <w:rFonts w:hint="eastAsia"/>
        </w:rPr>
        <w:t>。</w:t>
      </w:r>
    </w:p>
    <w:p>
      <w:pPr>
        <w:pStyle w:val="21"/>
        <w:snapToGrid w:val="0"/>
      </w:pPr>
      <w:r>
        <w:rPr>
          <w:rFonts w:hint="eastAsia"/>
        </w:rPr>
        <w:t>GB 5084农田灌溉水质标准</w:t>
      </w:r>
    </w:p>
    <w:p>
      <w:pPr>
        <w:pStyle w:val="21"/>
        <w:snapToGrid w:val="0"/>
      </w:pPr>
      <w:r>
        <w:rPr>
          <w:rFonts w:hint="eastAsia"/>
        </w:rPr>
        <w:t>GB/T 8321 农药合理使用准则</w:t>
      </w:r>
    </w:p>
    <w:p>
      <w:pPr>
        <w:pStyle w:val="21"/>
        <w:snapToGrid w:val="0"/>
      </w:pPr>
      <w:r>
        <w:rPr>
          <w:rFonts w:hint="eastAsia"/>
        </w:rPr>
        <w:t>NY/T496 肥料合理使用准则 通则</w:t>
      </w:r>
    </w:p>
    <w:p>
      <w:pPr>
        <w:pStyle w:val="42"/>
        <w:snapToGrid w:val="0"/>
        <w:spacing w:before="156" w:beforeLines="50" w:after="102" w:afterLines="33"/>
      </w:pPr>
      <w:r>
        <w:rPr>
          <w:rFonts w:hint="eastAsia"/>
        </w:rPr>
        <w:t>术语与定义</w:t>
      </w:r>
      <w:bookmarkEnd w:id="10"/>
      <w:bookmarkEnd w:id="11"/>
      <w:bookmarkEnd w:id="12"/>
    </w:p>
    <w:p>
      <w:pPr>
        <w:pStyle w:val="21"/>
        <w:snapToGrid w:val="0"/>
        <w:spacing w:after="106" w:afterLines="34"/>
        <w:rPr>
          <w:kern w:val="2"/>
        </w:rPr>
      </w:pPr>
      <w:r>
        <w:rPr>
          <w:rFonts w:hint="eastAsia"/>
          <w:kern w:val="2"/>
        </w:rPr>
        <w:t>下列术语与定义适用于</w:t>
      </w:r>
      <w:r>
        <w:rPr>
          <w:rFonts w:hint="eastAsia"/>
          <w:kern w:val="2"/>
          <w:lang w:eastAsia="zh-CN"/>
        </w:rPr>
        <w:t>本文件</w:t>
      </w:r>
      <w:r>
        <w:rPr>
          <w:rFonts w:hint="eastAsia"/>
          <w:kern w:val="2"/>
        </w:rPr>
        <w:t>。</w:t>
      </w:r>
    </w:p>
    <w:p>
      <w:pPr>
        <w:pStyle w:val="39"/>
        <w:snapToGrid w:val="0"/>
        <w:spacing w:before="106" w:beforeLines="34" w:after="106" w:afterLines="34"/>
      </w:pPr>
      <w:r>
        <w:rPr>
          <w:rFonts w:hint="eastAsia"/>
          <w:color w:val="auto"/>
        </w:rPr>
        <w:t>姜荷花</w:t>
      </w:r>
      <w:r>
        <w:rPr>
          <w:rFonts w:hint="eastAsia"/>
          <w:i/>
          <w:iCs/>
          <w:color w:val="auto"/>
        </w:rPr>
        <w:t xml:space="preserve">Curcuma alismatifolia </w:t>
      </w:r>
      <w:r>
        <w:rPr>
          <w:rFonts w:hint="eastAsia"/>
          <w:i w:val="0"/>
          <w:iCs w:val="0"/>
          <w:color w:val="auto"/>
        </w:rPr>
        <w:t>Gagnep</w:t>
      </w:r>
      <w:r>
        <w:rPr>
          <w:rFonts w:hint="eastAsia"/>
          <w:i/>
          <w:iCs/>
          <w:color w:val="auto"/>
        </w:rPr>
        <w:t>.</w:t>
      </w:r>
    </w:p>
    <w:p>
      <w:pPr>
        <w:pStyle w:val="21"/>
      </w:pPr>
      <w:r>
        <w:rPr>
          <w:rFonts w:hint="eastAsia"/>
        </w:rPr>
        <w:t>姜科</w:t>
      </w:r>
      <w:r>
        <w:rPr>
          <w:rFonts w:hint="eastAsia"/>
          <w:lang w:eastAsia="zh-CN"/>
        </w:rPr>
        <w:t>，</w:t>
      </w:r>
      <w:r>
        <w:rPr>
          <w:rFonts w:hint="eastAsia"/>
        </w:rPr>
        <w:t>姜黄属</w:t>
      </w:r>
      <w:r>
        <w:rPr>
          <w:rFonts w:hint="eastAsia"/>
          <w:lang w:eastAsia="zh-CN"/>
        </w:rPr>
        <w:t>，</w:t>
      </w:r>
      <w:r>
        <w:rPr>
          <w:rFonts w:hint="eastAsia"/>
        </w:rPr>
        <w:t>多年生球根草本。株高30</w:t>
      </w:r>
      <w:r>
        <w:rPr>
          <w:rFonts w:hint="eastAsia"/>
          <w:lang w:val="en-US" w:eastAsia="zh-CN"/>
        </w:rPr>
        <w:t xml:space="preserve"> cm</w:t>
      </w:r>
      <w:r>
        <w:rPr>
          <w:rFonts w:hint="eastAsia"/>
        </w:rPr>
        <w:t>-80</w:t>
      </w:r>
      <w:r>
        <w:rPr>
          <w:rFonts w:hint="eastAsia"/>
          <w:lang w:val="en-US" w:eastAsia="zh-CN"/>
        </w:rPr>
        <w:t xml:space="preserve"> cm</w:t>
      </w:r>
      <w:r>
        <w:rPr>
          <w:rFonts w:hint="eastAsia"/>
        </w:rPr>
        <w:t>；叶基生；穗状花序；花期6</w:t>
      </w:r>
      <w:r>
        <w:rPr>
          <w:rFonts w:hint="eastAsia"/>
          <w:lang w:val="en-US" w:eastAsia="zh-CN"/>
        </w:rPr>
        <w:t xml:space="preserve"> 月</w:t>
      </w:r>
      <w:r>
        <w:rPr>
          <w:rFonts w:hint="eastAsia"/>
        </w:rPr>
        <w:t>-10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月。</w:t>
      </w:r>
    </w:p>
    <w:p>
      <w:pPr>
        <w:pStyle w:val="39"/>
        <w:snapToGrid w:val="0"/>
        <w:spacing w:before="106" w:beforeLines="34" w:after="106" w:afterLines="34"/>
      </w:pPr>
      <w:r>
        <w:rPr>
          <w:rFonts w:hint="eastAsia"/>
        </w:rPr>
        <w:t>外植体</w:t>
      </w:r>
      <w:r>
        <w:rPr>
          <w:rFonts w:hint="eastAsia"/>
          <w:lang w:val="en-US" w:eastAsia="zh-CN"/>
        </w:rPr>
        <w:t xml:space="preserve"> </w:t>
      </w:r>
      <w:r>
        <w:rPr>
          <w:kern w:val="2"/>
        </w:rPr>
        <w:t>explant</w:t>
      </w:r>
    </w:p>
    <w:p>
      <w:pPr>
        <w:pStyle w:val="21"/>
        <w:snapToGrid w:val="0"/>
      </w:pPr>
      <w:r>
        <w:rPr>
          <w:rFonts w:hint="eastAsia"/>
          <w:lang w:val="en-US" w:eastAsia="zh-CN"/>
        </w:rPr>
        <w:t>从活体</w:t>
      </w:r>
      <w:r>
        <w:rPr>
          <w:rFonts w:hint="eastAsia"/>
        </w:rPr>
        <w:t>植物</w:t>
      </w:r>
      <w:r>
        <w:rPr>
          <w:rFonts w:hint="eastAsia"/>
          <w:lang w:val="en-US" w:eastAsia="zh-CN"/>
        </w:rPr>
        <w:t>上切取，进行离体培养</w:t>
      </w:r>
      <w:r>
        <w:rPr>
          <w:rFonts w:hint="eastAsia"/>
        </w:rPr>
        <w:t>的部分组织或器官。</w:t>
      </w:r>
    </w:p>
    <w:p>
      <w:pPr>
        <w:pStyle w:val="39"/>
        <w:snapToGrid w:val="0"/>
        <w:spacing w:before="106" w:beforeLines="34" w:after="106" w:afterLines="34"/>
        <w:rPr>
          <w:kern w:val="2"/>
        </w:rPr>
      </w:pPr>
      <w:r>
        <w:rPr>
          <w:rFonts w:hint="eastAsia"/>
        </w:rPr>
        <w:t>诱导培养</w:t>
      </w:r>
      <w:r>
        <w:rPr>
          <w:rFonts w:hint="eastAsia"/>
          <w:lang w:val="en-US" w:eastAsia="zh-CN"/>
        </w:rPr>
        <w:t xml:space="preserve"> </w:t>
      </w:r>
      <w:r>
        <w:rPr>
          <w:kern w:val="2"/>
        </w:rPr>
        <w:t>induction culture</w:t>
      </w:r>
    </w:p>
    <w:p>
      <w:pPr>
        <w:pStyle w:val="21"/>
        <w:snapToGrid w:val="0"/>
      </w:pPr>
      <w:r>
        <w:rPr>
          <w:rFonts w:hint="eastAsia"/>
        </w:rPr>
        <w:t>在培养基上，外植体发生形态改变或增殖。</w:t>
      </w:r>
    </w:p>
    <w:p>
      <w:pPr>
        <w:pStyle w:val="39"/>
        <w:snapToGrid w:val="0"/>
        <w:spacing w:before="106" w:beforeLines="34" w:after="106" w:afterLines="34"/>
      </w:pPr>
      <w:r>
        <w:rPr>
          <w:rFonts w:hint="eastAsia"/>
          <w:lang w:eastAsia="zh-CN"/>
        </w:rPr>
        <w:t>种球培育</w:t>
      </w:r>
      <w:r>
        <w:rPr>
          <w:rFonts w:hint="eastAsia"/>
          <w:lang w:val="en-US" w:eastAsia="zh-CN"/>
        </w:rPr>
        <w:t xml:space="preserve"> bulblets propagation</w:t>
      </w:r>
    </w:p>
    <w:p>
      <w:pPr>
        <w:pStyle w:val="21"/>
        <w:snapToGrid w:val="0"/>
        <w:rPr>
          <w:color w:val="auto"/>
        </w:rPr>
      </w:pPr>
      <w:r>
        <w:rPr>
          <w:rFonts w:hint="eastAsia"/>
          <w:color w:val="auto"/>
          <w:lang w:val="en-US" w:eastAsia="zh-CN"/>
        </w:rPr>
        <w:t>组培苗经宿根栽培，翌年再次完成生长周期，繁育健壮种球的过程</w:t>
      </w:r>
      <w:r>
        <w:rPr>
          <w:rFonts w:hint="eastAsia"/>
          <w:color w:val="auto"/>
        </w:rPr>
        <w:t>。</w:t>
      </w:r>
    </w:p>
    <w:p>
      <w:pPr>
        <w:pStyle w:val="39"/>
        <w:snapToGrid w:val="0"/>
        <w:spacing w:before="106" w:beforeLines="34" w:after="106" w:afterLines="34"/>
      </w:pPr>
      <w:r>
        <w:rPr>
          <w:rFonts w:hint="eastAsia"/>
        </w:rPr>
        <w:t>用于</w:t>
      </w:r>
      <w:r>
        <w:rPr>
          <w:rFonts w:hint="eastAsia"/>
          <w:lang w:eastAsia="zh-CN"/>
        </w:rPr>
        <w:t>本文件</w:t>
      </w:r>
      <w:r>
        <w:rPr>
          <w:rFonts w:hint="eastAsia"/>
        </w:rPr>
        <w:t>的缩写词</w:t>
      </w:r>
    </w:p>
    <w:p>
      <w:pPr>
        <w:pStyle w:val="21"/>
        <w:snapToGrid w:val="0"/>
      </w:pPr>
      <w:r>
        <w:rPr>
          <w:rFonts w:hint="eastAsia"/>
        </w:rPr>
        <w:t>MS培养基:常用基本培养基</w:t>
      </w:r>
      <w:r>
        <w:rPr>
          <w:rFonts w:hint="eastAsia"/>
          <w:lang w:eastAsia="zh-CN"/>
        </w:rPr>
        <w:t>，</w:t>
      </w:r>
      <w:r>
        <w:rPr>
          <w:rFonts w:hint="eastAsia"/>
        </w:rPr>
        <w:t>Murashige和Skoog（1962）</w:t>
      </w:r>
    </w:p>
    <w:p>
      <w:pPr>
        <w:pStyle w:val="21"/>
        <w:snapToGrid w:val="0"/>
      </w:pPr>
      <w:r>
        <w:rPr>
          <w:rFonts w:hint="eastAsia"/>
        </w:rPr>
        <w:t>6-BA:6-苄基腺嘌呤</w:t>
      </w:r>
      <w:r>
        <w:rPr>
          <w:rFonts w:hint="eastAsia"/>
          <w:lang w:eastAsia="zh-CN"/>
        </w:rPr>
        <w:t>，</w:t>
      </w:r>
      <w:r>
        <w:t>6-benzylaminopurine</w:t>
      </w:r>
    </w:p>
    <w:p>
      <w:pPr>
        <w:pStyle w:val="21"/>
        <w:snapToGrid w:val="0"/>
        <w:rPr>
          <w:rFonts w:hint="eastAsia"/>
        </w:rPr>
      </w:pPr>
      <w:r>
        <w:rPr>
          <w:rFonts w:hint="eastAsia"/>
        </w:rPr>
        <w:t>NAA</w:t>
      </w:r>
      <w:r>
        <w:rPr>
          <w:rFonts w:hint="eastAsia"/>
          <w:lang w:eastAsia="zh-CN"/>
        </w:rPr>
        <w:t>：</w:t>
      </w:r>
      <w:r>
        <w:rPr>
          <w:rFonts w:hint="eastAsia"/>
        </w:rPr>
        <w:t>萘乙酸</w:t>
      </w:r>
      <w:r>
        <w:rPr>
          <w:rFonts w:hint="eastAsia"/>
          <w:lang w:eastAsia="zh-CN"/>
        </w:rPr>
        <w:t>，</w:t>
      </w:r>
      <w:r>
        <w:t>naphthyleneacetic acid</w:t>
      </w:r>
    </w:p>
    <w:p>
      <w:pPr>
        <w:pStyle w:val="21"/>
        <w:snapToGrid w:val="0"/>
      </w:pPr>
      <w:r>
        <w:rPr>
          <w:rFonts w:hint="eastAsia"/>
        </w:rPr>
        <w:t>NaClO:次氯酸钠</w:t>
      </w:r>
    </w:p>
    <w:p>
      <w:pPr>
        <w:pStyle w:val="21"/>
        <w:snapToGrid w:val="0"/>
      </w:pPr>
      <w:r>
        <w:rPr>
          <w:rFonts w:hint="eastAsia"/>
        </w:rPr>
        <w:t>NaOH:氢氧化钠</w:t>
      </w:r>
    </w:p>
    <w:p>
      <w:pPr>
        <w:pStyle w:val="21"/>
        <w:snapToGrid w:val="0"/>
      </w:pPr>
      <w:r>
        <w:rPr>
          <w:rFonts w:hint="eastAsia"/>
        </w:rPr>
        <w:t>HCl:盐酸</w:t>
      </w:r>
    </w:p>
    <w:p>
      <w:pPr>
        <w:pStyle w:val="42"/>
        <w:snapToGrid w:val="0"/>
        <w:spacing w:before="156" w:beforeLines="50" w:after="102" w:afterLines="33"/>
        <w:rPr>
          <w:color w:val="auto"/>
        </w:rPr>
      </w:pPr>
      <w:r>
        <w:rPr>
          <w:rFonts w:hint="eastAsia"/>
          <w:color w:val="auto"/>
          <w:lang w:val="en-US" w:eastAsia="zh-CN"/>
        </w:rPr>
        <w:t>组培苗繁育</w:t>
      </w:r>
      <w:r>
        <w:rPr>
          <w:rFonts w:hint="eastAsia"/>
          <w:color w:val="auto"/>
          <w:lang w:eastAsia="zh-CN"/>
        </w:rPr>
        <w:t>、</w:t>
      </w:r>
      <w:r>
        <w:rPr>
          <w:rFonts w:hint="eastAsia"/>
          <w:color w:val="auto"/>
          <w:lang w:val="en-US" w:eastAsia="zh-CN"/>
        </w:rPr>
        <w:t>种球培育</w:t>
      </w:r>
    </w:p>
    <w:p>
      <w:pPr>
        <w:pStyle w:val="39"/>
        <w:bidi w:val="0"/>
      </w:pPr>
      <w:r>
        <w:rPr>
          <w:rFonts w:hint="eastAsia"/>
          <w:lang w:val="en-US" w:eastAsia="zh-CN"/>
        </w:rPr>
        <w:t>组培苗繁育</w:t>
      </w:r>
    </w:p>
    <w:p>
      <w:pPr>
        <w:pStyle w:val="43"/>
        <w:bidi w:val="0"/>
      </w:pPr>
      <w:r>
        <w:rPr>
          <w:rFonts w:hint="eastAsia"/>
        </w:rPr>
        <w:t>培养基配制</w:t>
      </w:r>
    </w:p>
    <w:p>
      <w:pPr>
        <w:pStyle w:val="48"/>
        <w:bidi w:val="0"/>
      </w:pPr>
      <w:r>
        <w:rPr>
          <w:rFonts w:hint="eastAsia"/>
        </w:rPr>
        <w:t>配方</w:t>
      </w:r>
    </w:p>
    <w:p>
      <w:pPr>
        <w:pStyle w:val="21"/>
        <w:snapToGrid w:val="0"/>
        <w:rPr>
          <w:rFonts w:hint="eastAsia" w:hAnsi="宋体"/>
        </w:rPr>
      </w:pPr>
      <w:r>
        <w:rPr>
          <w:rFonts w:hint="eastAsia"/>
        </w:rPr>
        <w:t>诱导</w:t>
      </w:r>
      <w:r>
        <w:rPr>
          <w:rFonts w:hint="eastAsia"/>
          <w:lang w:eastAsia="zh-CN"/>
        </w:rPr>
        <w:t>、</w:t>
      </w:r>
      <w:r>
        <w:rPr>
          <w:rFonts w:hint="eastAsia"/>
        </w:rPr>
        <w:t>增殖培养基：</w:t>
      </w:r>
      <w:r>
        <w:t>1/3MS+6</w:t>
      </w:r>
      <w:r>
        <w:rPr>
          <w:rFonts w:hint="eastAsia"/>
        </w:rPr>
        <w:t>-</w:t>
      </w:r>
      <w:r>
        <w:t xml:space="preserve">BA </w:t>
      </w:r>
      <w:r>
        <w:rPr>
          <w:rFonts w:hint="eastAsia"/>
          <w:lang w:val="en-US" w:eastAsia="zh-CN"/>
        </w:rPr>
        <w:t xml:space="preserve">3 </w:t>
      </w:r>
      <w:r>
        <w:t>mg/L</w:t>
      </w:r>
      <w:r>
        <w:rPr>
          <w:rFonts w:hint="eastAsia"/>
        </w:rPr>
        <w:t>+2%蔗糖 +0</w:t>
      </w:r>
      <w:r>
        <w:t>.5</w:t>
      </w:r>
      <w:r>
        <w:rPr>
          <w:rFonts w:hint="eastAsia"/>
        </w:rPr>
        <w:t>%琼脂，</w:t>
      </w:r>
      <w:r>
        <w:t>pH</w:t>
      </w:r>
      <w:r>
        <w:rPr>
          <w:rFonts w:hint="eastAsia"/>
        </w:rPr>
        <w:t>值为5</w:t>
      </w:r>
      <w:r>
        <w:t>.</w:t>
      </w:r>
      <w:r>
        <w:rPr>
          <w:rFonts w:hint="eastAsia"/>
          <w:lang w:val="en-US" w:eastAsia="zh-CN"/>
        </w:rPr>
        <w:t>6</w:t>
      </w:r>
      <w:r>
        <w:rPr>
          <w:rFonts w:hint="eastAsia" w:hAnsi="宋体"/>
        </w:rPr>
        <w:t>±</w:t>
      </w:r>
      <w:r>
        <w:rPr>
          <w:rFonts w:hint="eastAsia"/>
        </w:rPr>
        <w:t>0</w:t>
      </w:r>
      <w:r>
        <w:t>.2</w:t>
      </w:r>
      <w:r>
        <w:rPr>
          <w:rFonts w:hint="eastAsia"/>
        </w:rPr>
        <w:t>。</w:t>
      </w:r>
    </w:p>
    <w:p>
      <w:pPr>
        <w:pStyle w:val="21"/>
        <w:snapToGrid w:val="0"/>
        <w:rPr>
          <w:rFonts w:hint="eastAsia" w:hAnsi="宋体" w:eastAsia="宋体"/>
          <w:lang w:eastAsia="zh-CN"/>
        </w:rPr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壮苗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培养基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：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1/2</w:t>
      </w:r>
      <w:r>
        <w:rPr>
          <w:rFonts w:hint="eastAsia"/>
        </w:rPr>
        <w:t>MS</w:t>
      </w:r>
      <w:r>
        <w:t>+</w:t>
      </w:r>
      <w:r>
        <w:rPr>
          <w:rFonts w:hint="eastAsia"/>
          <w:lang w:val="en-US" w:eastAsia="zh-CN"/>
        </w:rPr>
        <w:t>NA</w:t>
      </w:r>
      <w:r>
        <w:t xml:space="preserve">A </w:t>
      </w:r>
      <w:r>
        <w:rPr>
          <w:rFonts w:hint="eastAsia"/>
          <w:lang w:val="en-US" w:eastAsia="zh-CN"/>
        </w:rPr>
        <w:t xml:space="preserve">0.2 </w:t>
      </w:r>
      <w:r>
        <w:rPr>
          <w:rFonts w:hint="eastAsia"/>
        </w:rPr>
        <w:t>mg/</w:t>
      </w:r>
      <w:r>
        <w:t>L</w:t>
      </w:r>
      <w:r>
        <w:rPr>
          <w:rFonts w:hint="eastAsia"/>
        </w:rPr>
        <w:t>+</w:t>
      </w:r>
      <w:r>
        <w:t>2%</w:t>
      </w:r>
      <w:r>
        <w:rPr>
          <w:rFonts w:hint="eastAsia"/>
        </w:rPr>
        <w:t xml:space="preserve">蔗糖 </w:t>
      </w:r>
      <w:r>
        <w:t>+0.45%</w:t>
      </w:r>
      <w:r>
        <w:rPr>
          <w:rFonts w:hint="eastAsia"/>
        </w:rPr>
        <w:t>琼脂，</w:t>
      </w:r>
      <w:r>
        <w:t>pH</w:t>
      </w:r>
      <w:r>
        <w:rPr>
          <w:rFonts w:hint="eastAsia"/>
        </w:rPr>
        <w:t>值为5</w:t>
      </w:r>
      <w:r>
        <w:t>.</w:t>
      </w:r>
      <w:r>
        <w:rPr>
          <w:rFonts w:hint="eastAsia"/>
        </w:rPr>
        <w:t>8</w:t>
      </w:r>
      <w:r>
        <w:rPr>
          <w:rFonts w:hint="eastAsia" w:hAnsi="宋体"/>
        </w:rPr>
        <w:t>±</w:t>
      </w:r>
      <w:r>
        <w:rPr>
          <w:rFonts w:hAnsi="宋体"/>
        </w:rPr>
        <w:t>0.2</w:t>
      </w:r>
      <w:r>
        <w:rPr>
          <w:rFonts w:hint="eastAsia" w:hAnsi="宋体"/>
        </w:rPr>
        <w:t>。</w:t>
      </w:r>
    </w:p>
    <w:p>
      <w:pPr>
        <w:pStyle w:val="48"/>
        <w:bidi w:val="0"/>
      </w:pPr>
      <w:r>
        <w:rPr>
          <w:rFonts w:hint="eastAsia"/>
        </w:rPr>
        <w:t>方法</w:t>
      </w:r>
    </w:p>
    <w:p>
      <w:pPr>
        <w:pStyle w:val="21"/>
        <w:snapToGrid w:val="0"/>
      </w:pPr>
      <w:r>
        <w:rPr>
          <w:rFonts w:hint="eastAsia"/>
        </w:rPr>
        <w:t>将各类物质加热搅拌溶解后定容，用1</w:t>
      </w:r>
      <w:r>
        <w:rPr>
          <w:rFonts w:hint="eastAsia"/>
          <w:lang w:val="en-US" w:eastAsia="zh-CN"/>
        </w:rPr>
        <w:t xml:space="preserve"> </w:t>
      </w:r>
      <w:r>
        <w:t>mol/</w:t>
      </w:r>
      <w:r>
        <w:rPr>
          <w:rFonts w:hint="eastAsia"/>
        </w:rPr>
        <w:t>L的</w:t>
      </w:r>
      <w:r>
        <w:t>NaOH</w:t>
      </w:r>
      <w:r>
        <w:rPr>
          <w:rFonts w:hint="eastAsia"/>
        </w:rPr>
        <w:t>或1</w:t>
      </w:r>
      <w:r>
        <w:rPr>
          <w:rFonts w:hint="eastAsia"/>
          <w:lang w:val="en-US" w:eastAsia="zh-CN"/>
        </w:rPr>
        <w:t xml:space="preserve"> </w:t>
      </w:r>
      <w:r>
        <w:t>mol/</w:t>
      </w:r>
      <w:r>
        <w:rPr>
          <w:rFonts w:hint="eastAsia"/>
        </w:rPr>
        <w:t>L的</w:t>
      </w:r>
      <w:r>
        <w:t>H</w:t>
      </w:r>
      <w:r>
        <w:rPr>
          <w:rFonts w:hint="eastAsia"/>
        </w:rPr>
        <w:t>C</w:t>
      </w:r>
      <w:r>
        <w:t>l</w:t>
      </w:r>
      <w:r>
        <w:rPr>
          <w:rFonts w:hint="eastAsia"/>
        </w:rPr>
        <w:t>溶液调节</w:t>
      </w:r>
      <w:r>
        <w:t>p</w:t>
      </w:r>
      <w:r>
        <w:rPr>
          <w:rFonts w:hint="eastAsia"/>
        </w:rPr>
        <w:t>H值后，分装</w:t>
      </w:r>
      <w:r>
        <w:rPr>
          <w:rFonts w:hint="eastAsia" w:hAnsi="宋体"/>
        </w:rPr>
        <w:t>灭菌（湿热空气灭菌法</w:t>
      </w:r>
      <w:r>
        <w:rPr>
          <w:rFonts w:hAnsi="宋体"/>
        </w:rPr>
        <w:t>0.11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Ansi="宋体"/>
        </w:rPr>
        <w:t>MPa</w:t>
      </w:r>
      <w:r>
        <w:rPr>
          <w:rFonts w:hint="eastAsia"/>
        </w:rPr>
        <w:t>～</w:t>
      </w:r>
      <w:r>
        <w:rPr>
          <w:rFonts w:hAnsi="宋体"/>
        </w:rPr>
        <w:t>0.14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Ansi="宋体"/>
        </w:rPr>
        <w:t>MPa</w:t>
      </w:r>
      <w:r>
        <w:rPr>
          <w:rFonts w:hint="eastAsia" w:hAnsi="宋体"/>
        </w:rPr>
        <w:t>、</w:t>
      </w:r>
      <w:r>
        <w:rPr>
          <w:rFonts w:hAnsi="宋体"/>
        </w:rPr>
        <w:t>118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℃</w:t>
      </w:r>
      <w:r>
        <w:rPr>
          <w:rFonts w:hint="eastAsia"/>
        </w:rPr>
        <w:t>～</w:t>
      </w:r>
      <w:r>
        <w:rPr>
          <w:rFonts w:hAnsi="宋体"/>
        </w:rPr>
        <w:t>121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℃、</w:t>
      </w:r>
      <w:r>
        <w:rPr>
          <w:rFonts w:hAnsi="宋体"/>
        </w:rPr>
        <w:t>20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Ansi="宋体"/>
        </w:rPr>
        <w:t>min</w:t>
      </w:r>
      <w:r>
        <w:rPr>
          <w:rFonts w:hint="eastAsia"/>
        </w:rPr>
        <w:t>～</w:t>
      </w:r>
      <w:r>
        <w:rPr>
          <w:rFonts w:hAnsi="宋体"/>
        </w:rPr>
        <w:t>37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Ansi="宋体"/>
        </w:rPr>
        <w:t>min</w:t>
      </w:r>
      <w:r>
        <w:rPr>
          <w:rFonts w:hint="eastAsia" w:hAnsi="宋体"/>
        </w:rPr>
        <w:t>），冷却凝固。</w:t>
      </w:r>
    </w:p>
    <w:p>
      <w:pPr>
        <w:pStyle w:val="43"/>
        <w:bidi w:val="0"/>
      </w:pPr>
      <w:bookmarkStart w:id="13" w:name="_Toc25142615"/>
      <w:bookmarkStart w:id="14" w:name="_Toc71705315"/>
      <w:bookmarkStart w:id="15" w:name="_Toc25136193"/>
      <w:r>
        <w:rPr>
          <w:rFonts w:hint="eastAsia"/>
          <w:lang w:val="en-US" w:eastAsia="zh-CN"/>
        </w:rPr>
        <w:t>培养</w:t>
      </w:r>
    </w:p>
    <w:p>
      <w:pPr>
        <w:pStyle w:val="48"/>
        <w:bidi w:val="0"/>
      </w:pPr>
      <w:r>
        <w:rPr>
          <w:rFonts w:hint="eastAsia"/>
        </w:rPr>
        <w:t>外植体处理</w:t>
      </w:r>
    </w:p>
    <w:p>
      <w:pPr>
        <w:pStyle w:val="21"/>
        <w:snapToGrid w:val="0"/>
      </w:pPr>
      <w:r>
        <w:rPr>
          <w:rFonts w:hint="eastAsia" w:hAnsi="宋体"/>
        </w:rPr>
        <w:t>取健康花序（7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cm～12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cm），剥除苞片，清理附着物，流水冲洗20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min。转入超净台，75%酒精浸泡30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s</w:t>
      </w:r>
      <w:r>
        <w:rPr>
          <w:rFonts w:hint="eastAsia" w:hAnsi="宋体"/>
          <w:lang w:eastAsia="zh-CN"/>
        </w:rPr>
        <w:t>，</w:t>
      </w:r>
      <w:r>
        <w:rPr>
          <w:rFonts w:hint="eastAsia" w:hAnsi="宋体"/>
        </w:rPr>
        <w:t>5%</w:t>
      </w:r>
      <w:r>
        <w:rPr>
          <w:rFonts w:hAnsi="宋体"/>
        </w:rPr>
        <w:t>NaClO</w:t>
      </w:r>
      <w:r>
        <w:rPr>
          <w:rFonts w:hint="eastAsia" w:hAnsi="宋体"/>
        </w:rPr>
        <w:t>溶液浸泡（12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min～15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min），无菌水冲洗3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次～5</w:t>
      </w:r>
      <w:r>
        <w:rPr>
          <w:rFonts w:hint="eastAsia" w:hAnsi="宋体"/>
          <w:lang w:val="en-US" w:eastAsia="zh-CN"/>
        </w:rPr>
        <w:t xml:space="preserve"> </w:t>
      </w:r>
      <w:r>
        <w:rPr>
          <w:rFonts w:hint="eastAsia" w:hAnsi="宋体"/>
        </w:rPr>
        <w:t>次，</w:t>
      </w:r>
      <w:r>
        <w:rPr>
          <w:rFonts w:hint="eastAsia" w:hAnsi="宋体"/>
          <w:lang w:val="en-US" w:eastAsia="zh-CN"/>
        </w:rPr>
        <w:t>用</w:t>
      </w:r>
      <w:r>
        <w:rPr>
          <w:rFonts w:hint="eastAsia" w:hAnsi="宋体"/>
        </w:rPr>
        <w:t>灭菌滤纸吸干水</w:t>
      </w:r>
      <w:r>
        <w:rPr>
          <w:rFonts w:hint="eastAsia" w:hAnsi="宋体"/>
          <w:lang w:val="en-US" w:eastAsia="zh-CN"/>
        </w:rPr>
        <w:t>分</w:t>
      </w:r>
      <w:r>
        <w:rPr>
          <w:rFonts w:hint="eastAsia" w:hAnsi="宋体"/>
        </w:rPr>
        <w:t>。</w:t>
      </w:r>
    </w:p>
    <w:p>
      <w:pPr>
        <w:pStyle w:val="48"/>
        <w:bidi w:val="0"/>
      </w:pPr>
      <w:r>
        <w:rPr>
          <w:rFonts w:hint="eastAsia"/>
        </w:rPr>
        <w:t>诱导培养</w:t>
      </w:r>
    </w:p>
    <w:p>
      <w:pPr>
        <w:pStyle w:val="21"/>
        <w:snapToGrid w:val="0"/>
        <w:rPr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eastAsia"/>
          <w:color w:val="auto"/>
          <w:lang w:val="en-US" w:eastAsia="zh-CN"/>
        </w:rPr>
        <w:t>将</w:t>
      </w:r>
      <w:r>
        <w:rPr>
          <w:rFonts w:hint="eastAsia"/>
          <w:color w:val="auto"/>
        </w:rPr>
        <w:t>完整花蕾接入诱导培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养基，置于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温度</w:t>
      </w:r>
      <w:r>
        <w:rPr>
          <w:rFonts w:hint="eastAsia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</w:t>
      </w:r>
      <w:r>
        <w:rPr>
          <w:rFonts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7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±2</w:t>
      </w:r>
      <w:r>
        <w:rPr>
          <w:rFonts w:hint="eastAsia" w:asciiTheme="minorEastAsia" w:hAnsiTheme="minorEastAsia"/>
          <w:color w:val="000000" w:themeColor="text1"/>
          <w:szCs w:val="2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℃，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黑暗培养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20</w:t>
      </w:r>
      <w:r>
        <w:rPr>
          <w:rFonts w:hint="eastAsia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hAnsi="宋体"/>
          <w:color w:val="000000" w:themeColor="text1"/>
          <w14:textFill>
            <w14:solidFill>
              <w14:schemeClr w14:val="tx1"/>
            </w14:solidFill>
          </w14:textFill>
        </w:rPr>
        <w:t>～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25</w:t>
      </w:r>
      <w:r>
        <w:rPr>
          <w:rFonts w:hint="eastAsia" w:hAnsi="宋体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d</w:t>
      </w:r>
      <w:r>
        <w:rPr>
          <w:rFonts w:hint="eastAsia" w:hAnsi="宋体"/>
          <w:color w:val="000000" w:themeColor="text1"/>
          <w:szCs w:val="21"/>
          <w14:textFill>
            <w14:solidFill>
              <w14:schemeClr w14:val="tx1"/>
            </w14:solidFill>
          </w14:textFill>
        </w:rPr>
        <w:t>可转化为不定芽团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。</w:t>
      </w:r>
    </w:p>
    <w:p>
      <w:pPr>
        <w:pStyle w:val="48"/>
        <w:bidi w:val="0"/>
      </w:pPr>
      <w:bookmarkStart w:id="16" w:name="_Toc71705313"/>
      <w:bookmarkStart w:id="17" w:name="_Toc25136191"/>
      <w:bookmarkStart w:id="18" w:name="_Toc25142613"/>
      <w:r>
        <w:rPr>
          <w:rFonts w:hint="eastAsia"/>
        </w:rPr>
        <w:t>增殖扩繁</w:t>
      </w:r>
      <w:bookmarkEnd w:id="16"/>
      <w:bookmarkEnd w:id="17"/>
      <w:bookmarkEnd w:id="18"/>
    </w:p>
    <w:p>
      <w:pPr>
        <w:pStyle w:val="21"/>
        <w:snapToGrid w:val="0"/>
        <w:rPr>
          <w:color w:val="auto"/>
        </w:rPr>
      </w:pPr>
      <w:r>
        <w:rPr>
          <w:rFonts w:hint="eastAsia"/>
        </w:rPr>
        <w:t>将不定芽团分割为2、3个芽一簇，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去除苞片、叶片和根（留</w:t>
      </w:r>
      <w:r>
        <w:rPr>
          <w:rFonts w:hint="eastAsia"/>
        </w:rPr>
        <w:t>芽长1.5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</w:t>
      </w:r>
      <w:r>
        <w:rPr>
          <w:rFonts w:hint="eastAsia" w:hAnsi="宋体"/>
        </w:rPr>
        <w:t>～</w:t>
      </w:r>
      <w:r>
        <w:rPr>
          <w:rFonts w:hint="eastAsia"/>
        </w:rPr>
        <w:t>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cm），接入增殖培养基，</w:t>
      </w:r>
      <w:r>
        <w:rPr>
          <w:rFonts w:hint="eastAsia"/>
          <w:color w:val="auto"/>
          <w:lang w:val="en-US" w:eastAsia="zh-CN"/>
        </w:rPr>
        <w:t>置于</w:t>
      </w:r>
      <w:r>
        <w:rPr>
          <w:rFonts w:hint="eastAsia"/>
          <w:color w:val="auto"/>
        </w:rPr>
        <w:t>温度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27±2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℃、光照强度</w:t>
      </w:r>
      <w:r>
        <w:rPr>
          <w:rFonts w:hint="eastAsia"/>
          <w:color w:val="auto"/>
          <w:lang w:val="en-US" w:eastAsia="zh-CN"/>
        </w:rPr>
        <w:t xml:space="preserve">2000 </w:t>
      </w:r>
      <w:r>
        <w:rPr>
          <w:rFonts w:hint="eastAsia"/>
          <w:color w:val="auto"/>
        </w:rPr>
        <w:t>lx</w:t>
      </w:r>
      <w:r>
        <w:rPr>
          <w:rFonts w:hint="eastAsia" w:hAnsi="宋体"/>
          <w:color w:val="auto"/>
        </w:rPr>
        <w:t>～</w:t>
      </w:r>
      <w:r>
        <w:rPr>
          <w:rFonts w:hint="eastAsia"/>
          <w:color w:val="auto"/>
        </w:rPr>
        <w:t>2500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lx，光照时间8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h/d环境</w:t>
      </w:r>
      <w:r>
        <w:rPr>
          <w:rFonts w:hint="eastAsia"/>
          <w:color w:val="auto"/>
          <w:lang w:val="en-US" w:eastAsia="zh-CN"/>
        </w:rPr>
        <w:t xml:space="preserve">中，15 </w:t>
      </w:r>
      <w:r>
        <w:rPr>
          <w:color w:val="auto"/>
        </w:rPr>
        <w:t>d</w:t>
      </w:r>
      <w:r>
        <w:rPr>
          <w:rFonts w:hint="eastAsia"/>
          <w:color w:val="auto"/>
        </w:rPr>
        <w:t>～</w:t>
      </w:r>
      <w:r>
        <w:rPr>
          <w:rFonts w:hint="eastAsia"/>
          <w:color w:val="auto"/>
          <w:lang w:val="en-US" w:eastAsia="zh-CN"/>
        </w:rPr>
        <w:t xml:space="preserve">25 </w:t>
      </w:r>
      <w:r>
        <w:rPr>
          <w:color w:val="auto"/>
        </w:rPr>
        <w:t>d</w:t>
      </w:r>
      <w:r>
        <w:rPr>
          <w:rFonts w:hint="eastAsia"/>
          <w:color w:val="auto"/>
        </w:rPr>
        <w:t>继代</w:t>
      </w:r>
      <w:r>
        <w:rPr>
          <w:rFonts w:hint="eastAsia"/>
          <w:color w:val="auto"/>
          <w:lang w:val="en-US" w:eastAsia="zh-CN"/>
        </w:rPr>
        <w:t>1</w:t>
      </w:r>
      <w:r>
        <w:rPr>
          <w:rFonts w:hint="eastAsia"/>
          <w:color w:val="auto"/>
        </w:rPr>
        <w:t>次。</w:t>
      </w:r>
    </w:p>
    <w:p>
      <w:pPr>
        <w:pStyle w:val="48"/>
        <w:bidi w:val="0"/>
      </w:pPr>
      <w:r>
        <w:rPr>
          <w:rFonts w:hint="eastAsia"/>
        </w:rPr>
        <w:t>壮苗培养</w:t>
      </w:r>
    </w:p>
    <w:p>
      <w:pPr>
        <w:pStyle w:val="21"/>
      </w:pP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将根、茎、叶完整的单株幼苗接入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壮苗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培养基，</w:t>
      </w:r>
      <w:r>
        <w:rPr>
          <w:rFonts w:hint="eastAsia"/>
          <w:color w:val="auto"/>
          <w:lang w:val="en-US" w:eastAsia="zh-CN"/>
        </w:rPr>
        <w:t>置于</w:t>
      </w:r>
      <w:r>
        <w:rPr>
          <w:rFonts w:hint="eastAsia"/>
          <w:color w:val="auto"/>
        </w:rPr>
        <w:t>温度</w:t>
      </w:r>
      <w:r>
        <w:rPr>
          <w:rFonts w:hint="eastAsia"/>
          <w:color w:val="auto"/>
          <w:lang w:eastAsia="zh-CN"/>
        </w:rPr>
        <w:t>（</w:t>
      </w:r>
      <w:r>
        <w:rPr>
          <w:rFonts w:hint="eastAsia"/>
          <w:color w:val="auto"/>
        </w:rPr>
        <w:t>27±2</w:t>
      </w:r>
      <w:r>
        <w:rPr>
          <w:rFonts w:hint="eastAsia"/>
          <w:color w:val="auto"/>
          <w:lang w:eastAsia="zh-CN"/>
        </w:rPr>
        <w:t>）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℃、光照强度</w:t>
      </w:r>
      <w:r>
        <w:rPr>
          <w:rFonts w:hint="eastAsia"/>
          <w:color w:val="auto"/>
          <w:lang w:val="en-US" w:eastAsia="zh-CN"/>
        </w:rPr>
        <w:t xml:space="preserve">2000 </w:t>
      </w:r>
      <w:r>
        <w:rPr>
          <w:rFonts w:hint="eastAsia"/>
          <w:color w:val="auto"/>
        </w:rPr>
        <w:t>lx</w:t>
      </w:r>
      <w:r>
        <w:rPr>
          <w:rFonts w:hint="eastAsia" w:hAnsi="宋体"/>
          <w:color w:val="auto"/>
        </w:rPr>
        <w:t>～</w:t>
      </w:r>
      <w:r>
        <w:rPr>
          <w:rFonts w:hint="eastAsia"/>
          <w:color w:val="auto"/>
        </w:rPr>
        <w:t>2500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lx，光照时间8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h/d环境</w:t>
      </w:r>
      <w:r>
        <w:rPr>
          <w:rFonts w:hint="eastAsia"/>
          <w:color w:val="auto"/>
          <w:lang w:val="en-US" w:eastAsia="zh-CN"/>
        </w:rPr>
        <w:t>中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培养。</w:t>
      </w:r>
    </w:p>
    <w:p>
      <w:pPr>
        <w:pStyle w:val="48"/>
        <w:bidi w:val="0"/>
      </w:pPr>
      <w:r>
        <w:rPr>
          <w:rFonts w:hint="eastAsia"/>
        </w:rPr>
        <w:t>炼苗驯化</w:t>
      </w:r>
    </w:p>
    <w:p>
      <w:pPr>
        <w:pStyle w:val="21"/>
        <w:snapToGrid w:val="0"/>
      </w:pPr>
      <w:r>
        <w:rPr>
          <w:rFonts w:hint="eastAsia"/>
        </w:rPr>
        <w:t>选择高10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cm～15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叶片</w:t>
      </w:r>
      <w:r>
        <w:rPr>
          <w:rFonts w:hint="eastAsia"/>
          <w:lang w:val="en-US" w:eastAsia="zh-CN"/>
        </w:rPr>
        <w:t>数≥</w:t>
      </w:r>
      <w:r>
        <w:rPr>
          <w:rFonts w:hint="eastAsia"/>
        </w:rPr>
        <w:t>3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</w:t>
      </w:r>
      <w:r>
        <w:rPr>
          <w:rFonts w:hint="eastAsia"/>
          <w:lang w:val="en-US" w:eastAsia="zh-CN"/>
        </w:rPr>
        <w:t>条数≥</w:t>
      </w:r>
      <w:r>
        <w:rPr>
          <w:rFonts w:hint="eastAsia"/>
        </w:rPr>
        <w:t>5的瓶苗，连瓶移入光照强度</w:t>
      </w:r>
      <w:r>
        <w:t>4</w:t>
      </w:r>
      <w:r>
        <w:rPr>
          <w:rFonts w:hint="eastAsia"/>
        </w:rPr>
        <w:t>000</w:t>
      </w:r>
      <w:r>
        <w:rPr>
          <w:rFonts w:hint="eastAsia"/>
          <w:lang w:val="en-US" w:eastAsia="zh-CN"/>
        </w:rPr>
        <w:t xml:space="preserve"> </w:t>
      </w:r>
      <w:r>
        <w:t>lx</w:t>
      </w:r>
      <w:r>
        <w:rPr>
          <w:rFonts w:hint="eastAsia"/>
        </w:rPr>
        <w:t>～</w:t>
      </w:r>
      <w:r>
        <w:t>8</w:t>
      </w:r>
      <w:r>
        <w:rPr>
          <w:rFonts w:hint="eastAsia"/>
        </w:rPr>
        <w:t>000</w:t>
      </w:r>
      <w:r>
        <w:rPr>
          <w:rFonts w:hint="eastAsia"/>
          <w:lang w:val="en-US" w:eastAsia="zh-CN"/>
        </w:rPr>
        <w:t xml:space="preserve"> </w:t>
      </w:r>
      <w:r>
        <w:t>lx</w:t>
      </w:r>
      <w:r>
        <w:rPr>
          <w:rFonts w:hint="eastAsia"/>
        </w:rPr>
        <w:t>，温度28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℃～32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℃的环境中，炼苗20</w:t>
      </w:r>
      <w:r>
        <w:rPr>
          <w:rFonts w:hint="eastAsia"/>
          <w:lang w:val="en-US" w:eastAsia="zh-CN"/>
        </w:rPr>
        <w:t xml:space="preserve"> </w:t>
      </w:r>
      <w:r>
        <w:t>d</w:t>
      </w:r>
      <w:r>
        <w:rPr>
          <w:rFonts w:hint="eastAsia"/>
        </w:rPr>
        <w:t>～30</w:t>
      </w:r>
      <w:r>
        <w:rPr>
          <w:rFonts w:hint="eastAsia"/>
          <w:lang w:val="en-US" w:eastAsia="zh-CN"/>
        </w:rPr>
        <w:t xml:space="preserve"> </w:t>
      </w:r>
      <w:r>
        <w:t>d</w:t>
      </w:r>
      <w:r>
        <w:rPr>
          <w:rFonts w:hint="eastAsia"/>
        </w:rPr>
        <w:t>后可脱瓶种植。</w:t>
      </w:r>
    </w:p>
    <w:bookmarkEnd w:id="13"/>
    <w:bookmarkEnd w:id="14"/>
    <w:bookmarkEnd w:id="15"/>
    <w:p>
      <w:pPr>
        <w:pStyle w:val="48"/>
        <w:bidi w:val="0"/>
      </w:pPr>
      <w:r>
        <w:rPr>
          <w:rFonts w:hint="eastAsia"/>
          <w:lang w:val="en-US" w:eastAsia="zh-CN"/>
        </w:rPr>
        <w:t>移栽</w:t>
      </w:r>
    </w:p>
    <w:p>
      <w:pPr>
        <w:pStyle w:val="21"/>
      </w:pPr>
      <w:r>
        <w:rPr>
          <w:rFonts w:hint="eastAsia"/>
          <w:lang w:val="en-US" w:eastAsia="zh-CN"/>
        </w:rPr>
        <w:t>组培苗出瓶，清除粘附基质，</w:t>
      </w:r>
      <w:r>
        <w:rPr>
          <w:rFonts w:hint="eastAsia" w:asciiTheme="minorEastAsia" w:hAnsiTheme="minorEastAsia"/>
          <w:szCs w:val="21"/>
          <w:lang w:val="en-US" w:eastAsia="zh-CN"/>
        </w:rPr>
        <w:t>用</w:t>
      </w:r>
      <w:r>
        <w:rPr>
          <w:rFonts w:hint="eastAsia" w:asciiTheme="minorEastAsia" w:hAnsiTheme="minorEastAsia"/>
          <w:szCs w:val="21"/>
        </w:rPr>
        <w:t>四环素</w:t>
      </w:r>
      <w:r>
        <w:rPr>
          <w:rFonts w:asciiTheme="minorEastAsia" w:hAnsiTheme="minorEastAsia"/>
          <w:szCs w:val="21"/>
        </w:rPr>
        <w:t>4000</w:t>
      </w:r>
      <w:r>
        <w:rPr>
          <w:rFonts w:hint="eastAsia" w:asciiTheme="minorEastAsia" w:hAnsiTheme="minorEastAsia"/>
          <w:szCs w:val="21"/>
        </w:rPr>
        <w:t>倍液或</w:t>
      </w:r>
      <w:r>
        <w:rPr>
          <w:rFonts w:hint="eastAsia" w:asciiTheme="minorEastAsia" w:hAnsiTheme="minorEastAsia"/>
          <w:szCs w:val="21"/>
          <w:lang w:eastAsia="zh-CN"/>
        </w:rPr>
        <w:t>精甲类</w:t>
      </w:r>
      <w:r>
        <w:rPr>
          <w:rFonts w:hint="eastAsia" w:asciiTheme="minorEastAsia" w:hAnsiTheme="minorEastAsia"/>
          <w:szCs w:val="21"/>
          <w:lang w:val="en-US" w:eastAsia="zh-CN"/>
        </w:rPr>
        <w:t>类</w:t>
      </w:r>
      <w:r>
        <w:rPr>
          <w:rFonts w:hint="eastAsia" w:asciiTheme="minorEastAsia" w:hAnsiTheme="minorEastAsia"/>
          <w:szCs w:val="21"/>
        </w:rPr>
        <w:t>杀菌悬浮剂</w:t>
      </w:r>
      <w:r>
        <w:rPr>
          <w:rFonts w:asciiTheme="minorEastAsia" w:hAnsiTheme="minorEastAsia"/>
          <w:szCs w:val="21"/>
        </w:rPr>
        <w:t>800</w:t>
      </w:r>
      <w:r>
        <w:rPr>
          <w:rFonts w:hint="eastAsia" w:asciiTheme="minorEastAsia" w:hAnsiTheme="minorEastAsia"/>
          <w:szCs w:val="21"/>
        </w:rPr>
        <w:t>倍</w:t>
      </w:r>
      <w:r>
        <w:rPr>
          <w:rFonts w:hint="eastAsia" w:asciiTheme="minorEastAsia" w:hAnsiTheme="minorEastAsia"/>
          <w:szCs w:val="21"/>
          <w:lang w:eastAsia="zh-CN"/>
        </w:rPr>
        <w:t>～</w:t>
      </w:r>
      <w:r>
        <w:rPr>
          <w:rFonts w:asciiTheme="minorEastAsia" w:hAnsiTheme="minorEastAsia"/>
          <w:szCs w:val="21"/>
        </w:rPr>
        <w:t>1000</w:t>
      </w:r>
      <w:r>
        <w:rPr>
          <w:rFonts w:hint="eastAsia" w:asciiTheme="minorEastAsia" w:hAnsiTheme="minorEastAsia"/>
          <w:szCs w:val="21"/>
        </w:rPr>
        <w:t>倍液</w:t>
      </w:r>
      <w:r>
        <w:rPr>
          <w:rFonts w:hint="eastAsia" w:asciiTheme="minorEastAsia" w:hAnsiTheme="minorEastAsia"/>
          <w:szCs w:val="21"/>
          <w:lang w:val="en-US" w:eastAsia="zh-CN"/>
        </w:rPr>
        <w:t>浸泡</w:t>
      </w:r>
      <w:r>
        <w:rPr>
          <w:rFonts w:hint="eastAsia" w:asciiTheme="minorEastAsia" w:hAnsiTheme="minorEastAsia"/>
          <w:szCs w:val="21"/>
        </w:rPr>
        <w:t>5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min，晾干</w:t>
      </w:r>
      <w:r>
        <w:rPr>
          <w:rFonts w:hint="eastAsia"/>
          <w:lang w:val="en-US" w:eastAsia="zh-CN"/>
        </w:rPr>
        <w:t>植于</w:t>
      </w:r>
      <w:r>
        <w:rPr>
          <w:rFonts w:hint="eastAsia" w:asciiTheme="minorEastAsia" w:hAnsiTheme="minorEastAsia" w:eastAsiaTheme="minorEastAsia"/>
        </w:rPr>
        <w:t>育苗</w:t>
      </w:r>
      <w:r>
        <w:rPr>
          <w:rFonts w:hint="eastAsia" w:asciiTheme="minorEastAsia" w:hAnsiTheme="minorEastAsia" w:eastAsiaTheme="minorEastAsia"/>
          <w:lang w:val="en-US" w:eastAsia="zh-CN"/>
        </w:rPr>
        <w:t>穴</w:t>
      </w:r>
      <w:r>
        <w:rPr>
          <w:rFonts w:hint="eastAsia" w:asciiTheme="minorEastAsia" w:hAnsiTheme="minorEastAsia" w:eastAsiaTheme="minorEastAsia"/>
        </w:rPr>
        <w:t>盘</w:t>
      </w:r>
      <w:r>
        <w:rPr>
          <w:rFonts w:hint="eastAsia" w:asciiTheme="minorEastAsia" w:hAnsiTheme="minorEastAsia" w:eastAsiaTheme="minorEastAsia"/>
          <w:lang w:eastAsia="zh-CN"/>
        </w:rPr>
        <w:t>（</w:t>
      </w:r>
      <w:r>
        <w:rPr>
          <w:rFonts w:hint="eastAsia" w:asciiTheme="minorEastAsia" w:hAnsiTheme="minorEastAsia" w:eastAsiaTheme="minorEastAsia"/>
        </w:rPr>
        <w:t>长宽54 cm×28 cm，50</w:t>
      </w:r>
      <w:r>
        <w:rPr>
          <w:rFonts w:hint="eastAsia" w:asciiTheme="minorEastAsia" w:hAnsiTheme="minorEastAsia" w:eastAsiaTheme="minorEastAsia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/>
        </w:rPr>
        <w:t>孔，口径4.8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 xml:space="preserve"> cm，</w:t>
      </w:r>
      <w:r>
        <w:rPr>
          <w:rFonts w:hint="eastAsia" w:asciiTheme="minorEastAsia" w:hAnsiTheme="minorEastAsia" w:eastAsiaTheme="minor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高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5.5 cm</w:t>
      </w:r>
      <w:r>
        <w:rPr>
          <w:rFonts w:hint="eastAsia" w:asciiTheme="minorEastAsia" w:hAnsiTheme="minorEastAsia" w:eastAsiaTheme="minor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，用泥碳：椰壳粒=1:1作基质，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基质含水量60%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70%</w:t>
      </w:r>
      <w:r>
        <w:rPr>
          <w:rFonts w:hint="eastAsia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保持光照强度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8000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lx</w:t>
      </w:r>
      <w:r>
        <w:rPr>
          <w:rFonts w:hint="eastAsia" w:asciiTheme="minorEastAsia" w:hAnsiTheme="minorEastAsia"/>
          <w:szCs w:val="21"/>
          <w:lang w:eastAsia="zh-CN"/>
        </w:rPr>
        <w:t>～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>0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000</w:t>
      </w:r>
      <w:r>
        <w:rPr>
          <w:rFonts w:hint="eastAsia" w:asciiTheme="minorEastAsia" w:hAnsiTheme="minorEastAsia"/>
          <w:color w:val="000000" w:themeColor="text1"/>
          <w:szCs w:val="21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lx。</w:t>
      </w:r>
    </w:p>
    <w:p>
      <w:pPr>
        <w:pStyle w:val="43"/>
        <w:bidi w:val="0"/>
      </w:pPr>
      <w:r>
        <w:rPr>
          <w:rFonts w:hint="eastAsia"/>
        </w:rPr>
        <w:t>栽培管理</w:t>
      </w:r>
    </w:p>
    <w:p>
      <w:pPr>
        <w:pStyle w:val="48"/>
        <w:bidi w:val="0"/>
      </w:pPr>
      <w:r>
        <w:rPr>
          <w:rFonts w:hint="eastAsia"/>
          <w:lang w:val="en-US" w:eastAsia="zh-CN"/>
        </w:rPr>
        <w:t>基质准备</w:t>
      </w:r>
    </w:p>
    <w:p>
      <w:pPr>
        <w:pStyle w:val="21"/>
        <w:snapToGrid w:val="0"/>
        <w:rPr>
          <w:rFonts w:asciiTheme="minorEastAsia" w:hAnsiTheme="minorEastAsia"/>
          <w:color w:val="auto"/>
          <w:szCs w:val="21"/>
        </w:rPr>
      </w:pPr>
      <w:r>
        <w:rPr>
          <w:rFonts w:hint="eastAsia"/>
          <w:color w:val="auto"/>
        </w:rPr>
        <w:t>选择疏松沙质土，</w:t>
      </w:r>
      <w:r>
        <w:rPr>
          <w:color w:val="auto"/>
        </w:rPr>
        <w:t>每</w:t>
      </w:r>
      <w:r>
        <w:rPr>
          <w:rFonts w:hint="eastAsia" w:asciiTheme="minorEastAsia" w:hAnsiTheme="minorEastAsia"/>
          <w:color w:val="auto"/>
          <w:szCs w:val="21"/>
        </w:rPr>
        <w:t>667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m</w:t>
      </w:r>
      <w:r>
        <w:rPr>
          <w:rFonts w:hint="eastAsia" w:asciiTheme="minorEastAsia" w:hAnsiTheme="minorEastAsia"/>
          <w:color w:val="auto"/>
          <w:szCs w:val="21"/>
          <w:vertAlign w:val="superscript"/>
        </w:rPr>
        <w:t>2</w:t>
      </w:r>
      <w:r>
        <w:rPr>
          <w:color w:val="auto"/>
        </w:rPr>
        <w:t>均匀</w:t>
      </w:r>
      <w:r>
        <w:rPr>
          <w:rFonts w:hint="eastAsia"/>
          <w:color w:val="auto"/>
          <w:lang w:val="en-US" w:eastAsia="zh-CN"/>
        </w:rPr>
        <w:t>撒洒</w:t>
      </w:r>
      <w:r>
        <w:rPr>
          <w:color w:val="auto"/>
        </w:rPr>
        <w:t>150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kg生石灰</w:t>
      </w:r>
      <w:r>
        <w:rPr>
          <w:rFonts w:hint="eastAsia"/>
          <w:color w:val="auto"/>
        </w:rPr>
        <w:t>，</w:t>
      </w:r>
      <w:r>
        <w:rPr>
          <w:rFonts w:hint="eastAsia"/>
          <w:color w:val="auto"/>
          <w:lang w:val="en-US" w:eastAsia="zh-CN"/>
        </w:rPr>
        <w:t>浇</w:t>
      </w:r>
      <w:r>
        <w:rPr>
          <w:color w:val="auto"/>
        </w:rPr>
        <w:t>水湿透，土壤</w:t>
      </w:r>
      <w:r>
        <w:rPr>
          <w:rFonts w:hint="eastAsia"/>
          <w:color w:val="auto"/>
        </w:rPr>
        <w:t>干松后可用</w:t>
      </w:r>
      <w:r>
        <w:rPr>
          <w:color w:val="auto"/>
        </w:rPr>
        <w:t>。</w:t>
      </w:r>
    </w:p>
    <w:p>
      <w:pPr>
        <w:pStyle w:val="21"/>
        <w:snapToGrid w:val="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作畦高30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cm，底宽90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cm，顶宽80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cm，排水沟宽25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cm～30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cm。</w:t>
      </w:r>
    </w:p>
    <w:p>
      <w:pPr>
        <w:pStyle w:val="48"/>
        <w:bidi w:val="0"/>
        <w:rPr>
          <w:rFonts w:hint="eastAsia"/>
        </w:rPr>
      </w:pPr>
      <w:r>
        <w:rPr>
          <w:rFonts w:hint="eastAsia"/>
        </w:rPr>
        <w:t>定植</w:t>
      </w:r>
    </w:p>
    <w:p>
      <w:pPr>
        <w:pStyle w:val="21"/>
        <w:snapToGrid w:val="0"/>
        <w:rPr>
          <w:rFonts w:hint="eastAsia" w:asciiTheme="minorEastAsia" w:hAnsiTheme="minorEastAsia"/>
          <w:szCs w:val="21"/>
        </w:rPr>
      </w:pPr>
      <w:r>
        <w:rPr>
          <w:rFonts w:hint="eastAsia" w:asciiTheme="minorEastAsia" w:hAnsiTheme="minorEastAsia"/>
          <w:szCs w:val="21"/>
        </w:rPr>
        <w:t>每667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  <w:vertAlign w:val="superscript"/>
        </w:rPr>
        <w:t>2</w:t>
      </w:r>
      <w:r>
        <w:rPr>
          <w:rFonts w:hint="eastAsia" w:asciiTheme="minorEastAsia" w:hAnsiTheme="minorEastAsia"/>
          <w:szCs w:val="21"/>
        </w:rPr>
        <w:t>定植</w:t>
      </w:r>
      <w:r>
        <w:rPr>
          <w:rFonts w:hint="eastAsia" w:asciiTheme="minorEastAsia" w:hAnsiTheme="minorEastAsia"/>
          <w:szCs w:val="21"/>
          <w:lang w:val="en-US" w:eastAsia="zh-CN"/>
        </w:rPr>
        <w:t>88</w:t>
      </w:r>
      <w:r>
        <w:rPr>
          <w:rFonts w:hint="eastAsia" w:asciiTheme="minorEastAsia" w:hAnsiTheme="minorEastAsia"/>
          <w:szCs w:val="21"/>
        </w:rPr>
        <w:t>00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株～</w:t>
      </w:r>
      <w:r>
        <w:rPr>
          <w:rFonts w:hint="eastAsia" w:asciiTheme="minorEastAsia" w:hAnsiTheme="minorEastAsia"/>
          <w:szCs w:val="21"/>
          <w:lang w:val="en-US" w:eastAsia="zh-CN"/>
        </w:rPr>
        <w:t>22</w:t>
      </w:r>
      <w:r>
        <w:rPr>
          <w:rFonts w:hint="eastAsia" w:asciiTheme="minorEastAsia" w:hAnsiTheme="minorEastAsia"/>
          <w:szCs w:val="21"/>
        </w:rPr>
        <w:t>000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株（依品种植株大小决定），行距20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cm～30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cm，株距15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cm～25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cm。</w:t>
      </w:r>
    </w:p>
    <w:p>
      <w:pPr>
        <w:pStyle w:val="21"/>
        <w:snapToGrid w:val="0"/>
        <w:rPr>
          <w:rFonts w:hint="default" w:eastAsia="宋体" w:asciiTheme="minorEastAsia" w:hAnsiTheme="minorEastAsia"/>
          <w:szCs w:val="21"/>
          <w:lang w:val="en-US" w:eastAsia="zh-CN"/>
        </w:rPr>
      </w:pPr>
      <w:r>
        <w:rPr>
          <w:rFonts w:hint="eastAsia" w:asciiTheme="minorEastAsia" w:hAnsiTheme="minorEastAsia"/>
          <w:szCs w:val="21"/>
          <w:lang w:val="en-US" w:eastAsia="zh-CN"/>
        </w:rPr>
        <w:t>每畦2 行或3 行。</w:t>
      </w:r>
    </w:p>
    <w:p>
      <w:pPr>
        <w:pStyle w:val="21"/>
      </w:pPr>
      <w:r>
        <w:rPr>
          <w:rFonts w:hint="eastAsia" w:asciiTheme="minorEastAsia" w:hAnsiTheme="minorEastAsia"/>
          <w:szCs w:val="21"/>
        </w:rPr>
        <w:t>盆栽选用1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加仑～2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加仑塑料盆，2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株～3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株一盆栽培。</w:t>
      </w:r>
    </w:p>
    <w:p>
      <w:pPr>
        <w:pStyle w:val="48"/>
        <w:bidi w:val="0"/>
      </w:pPr>
      <w:r>
        <w:rPr>
          <w:rFonts w:hint="eastAsia"/>
        </w:rPr>
        <w:t>肥料</w:t>
      </w:r>
    </w:p>
    <w:p>
      <w:pPr>
        <w:pStyle w:val="21"/>
        <w:snapToGrid w:val="0"/>
      </w:pPr>
      <w:r>
        <w:rPr>
          <w:rFonts w:hint="eastAsia"/>
          <w:lang w:val="en-US" w:eastAsia="zh-CN"/>
        </w:rPr>
        <w:t>基肥</w:t>
      </w:r>
      <w:r>
        <w:rPr>
          <w:rFonts w:hint="eastAsia"/>
        </w:rPr>
        <w:t>：每</w:t>
      </w:r>
      <w:r>
        <w:rPr>
          <w:rFonts w:hint="eastAsia" w:asciiTheme="minorEastAsia" w:hAnsiTheme="minorEastAsia"/>
          <w:szCs w:val="21"/>
        </w:rPr>
        <w:t>667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m</w:t>
      </w:r>
      <w:r>
        <w:rPr>
          <w:rFonts w:hint="eastAsia" w:asciiTheme="minorEastAsia" w:hAnsiTheme="minorEastAsia"/>
          <w:szCs w:val="21"/>
          <w:vertAlign w:val="superscript"/>
        </w:rPr>
        <w:t>2</w:t>
      </w:r>
      <w:r>
        <w:rPr>
          <w:rFonts w:hint="eastAsia"/>
        </w:rPr>
        <w:t>地以氮、磷、钾肥各150</w:t>
      </w:r>
      <w:r>
        <w:rPr>
          <w:rFonts w:hint="eastAsia"/>
          <w:lang w:val="en-US" w:eastAsia="zh-CN"/>
        </w:rPr>
        <w:t xml:space="preserve"> </w:t>
      </w:r>
      <w:r>
        <w:t>kg</w:t>
      </w:r>
      <w:r>
        <w:rPr>
          <w:rFonts w:hint="eastAsia"/>
        </w:rPr>
        <w:t>拌入土中作为基肥。</w:t>
      </w:r>
    </w:p>
    <w:p>
      <w:pPr>
        <w:pStyle w:val="21"/>
        <w:snapToGrid w:val="0"/>
        <w:rPr>
          <w:color w:val="auto"/>
        </w:rPr>
      </w:pPr>
      <w:r>
        <w:rPr>
          <w:rFonts w:hint="eastAsia"/>
          <w:color w:val="auto"/>
          <w:lang w:val="en-US" w:eastAsia="zh-CN"/>
        </w:rPr>
        <w:t>追肥：</w:t>
      </w:r>
      <w:r>
        <w:rPr>
          <w:rFonts w:hint="eastAsia"/>
          <w:color w:val="auto"/>
        </w:rPr>
        <w:t>苗期（第四片叶长出前）每</w:t>
      </w:r>
      <w:r>
        <w:rPr>
          <w:rFonts w:hint="eastAsia" w:asciiTheme="minorEastAsia" w:hAnsiTheme="minorEastAsia"/>
          <w:color w:val="auto"/>
          <w:szCs w:val="21"/>
        </w:rPr>
        <w:t>667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m</w:t>
      </w:r>
      <w:r>
        <w:rPr>
          <w:rFonts w:hint="eastAsia" w:asciiTheme="minorEastAsia" w:hAnsiTheme="minorEastAsia"/>
          <w:color w:val="auto"/>
          <w:szCs w:val="21"/>
          <w:vertAlign w:val="superscript"/>
        </w:rPr>
        <w:t>2</w:t>
      </w:r>
      <w:r>
        <w:rPr>
          <w:rFonts w:hint="eastAsia"/>
          <w:color w:val="auto"/>
        </w:rPr>
        <w:t>可施用氮、磷、钾肥各20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kg</w:t>
      </w:r>
      <w:r>
        <w:rPr>
          <w:rFonts w:hint="eastAsia"/>
          <w:color w:val="auto"/>
          <w:lang w:eastAsia="zh-CN"/>
        </w:rPr>
        <w:t>；</w:t>
      </w:r>
      <w:r>
        <w:rPr>
          <w:rFonts w:hint="eastAsia"/>
          <w:color w:val="auto"/>
          <w:lang w:val="en-US" w:eastAsia="zh-CN"/>
        </w:rPr>
        <w:t>花序抽出后</w:t>
      </w:r>
      <w:r>
        <w:rPr>
          <w:rFonts w:hint="eastAsia"/>
          <w:color w:val="auto"/>
        </w:rPr>
        <w:t>：每</w:t>
      </w:r>
      <w:r>
        <w:rPr>
          <w:rFonts w:hint="eastAsia" w:asciiTheme="minorEastAsia" w:hAnsiTheme="minorEastAsia"/>
          <w:color w:val="auto"/>
          <w:szCs w:val="21"/>
        </w:rPr>
        <w:t>667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m</w:t>
      </w:r>
      <w:r>
        <w:rPr>
          <w:rFonts w:hint="eastAsia" w:asciiTheme="minorEastAsia" w:hAnsiTheme="minorEastAsia"/>
          <w:color w:val="auto"/>
          <w:szCs w:val="21"/>
          <w:vertAlign w:val="superscript"/>
        </w:rPr>
        <w:t>2</w:t>
      </w:r>
      <w:r>
        <w:rPr>
          <w:rFonts w:hint="eastAsia"/>
          <w:color w:val="auto"/>
        </w:rPr>
        <w:t>施用13-13-21复合肥20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kg，20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d一次。</w:t>
      </w:r>
    </w:p>
    <w:p>
      <w:pPr>
        <w:pStyle w:val="48"/>
        <w:bidi w:val="0"/>
      </w:pPr>
      <w:r>
        <w:rPr>
          <w:rFonts w:hint="eastAsia"/>
        </w:rPr>
        <w:t>水分</w:t>
      </w:r>
    </w:p>
    <w:p>
      <w:pPr>
        <w:pStyle w:val="21"/>
        <w:snapToGrid w:val="0"/>
      </w:pPr>
      <w:r>
        <w:rPr>
          <w:rFonts w:hint="eastAsia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全生长期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保持土壤含水量60%</w:t>
      </w:r>
      <w:r>
        <w:rPr>
          <w:rFonts w:hint="eastAsia" w:asciiTheme="minorEastAsia" w:hAnsiTheme="minor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～</w:t>
      </w:r>
      <w:r>
        <w:rPr>
          <w:rFonts w:hint="eastAsia"/>
          <w:color w:val="000000" w:themeColor="text1"/>
          <w14:textFill>
            <w14:solidFill>
              <w14:schemeClr w14:val="tx1"/>
            </w14:solidFill>
          </w14:textFill>
        </w:rPr>
        <w:t>70%。</w:t>
      </w:r>
      <w:r>
        <w:rPr>
          <w:rFonts w:hint="eastAsia" w:asciiTheme="minorEastAsia" w:hAnsiTheme="minorEastAsia" w:eastAsiaTheme="minorEastAsia"/>
          <w:color w:val="000000" w:themeColor="text1"/>
          <w14:textFill>
            <w14:solidFill>
              <w14:schemeClr w14:val="tx1"/>
            </w14:solidFill>
          </w14:textFill>
        </w:rPr>
        <w:t>水</w:t>
      </w:r>
      <w:r>
        <w:rPr>
          <w:rFonts w:hint="eastAsia" w:asciiTheme="minorEastAsia" w:hAnsiTheme="minorEastAsia" w:eastAsiaTheme="minorEastAsia"/>
        </w:rPr>
        <w:t>EC值≤0.3</w:t>
      </w:r>
      <w:r>
        <w:rPr>
          <w:rFonts w:hint="eastAsia" w:asciiTheme="minorEastAsia" w:hAnsiTheme="minorEastAsia" w:eastAsiaTheme="minorEastAsia"/>
          <w:lang w:eastAsia="zh-CN"/>
        </w:rPr>
        <w:t>，</w:t>
      </w:r>
      <w:r>
        <w:rPr>
          <w:rFonts w:hint="eastAsia" w:asciiTheme="minorEastAsia" w:hAnsiTheme="minorEastAsia" w:eastAsiaTheme="minorEastAsia"/>
        </w:rPr>
        <w:t>其它内含物应符合GB 5084的相关要求。</w:t>
      </w:r>
    </w:p>
    <w:p>
      <w:pPr>
        <w:pStyle w:val="48"/>
        <w:bidi w:val="0"/>
      </w:pPr>
      <w:bookmarkStart w:id="19" w:name="_Toc71705316"/>
      <w:bookmarkStart w:id="20" w:name="_Toc25136194"/>
      <w:bookmarkStart w:id="21" w:name="_Toc25142616"/>
      <w:r>
        <w:rPr>
          <w:rFonts w:hint="eastAsia"/>
        </w:rPr>
        <w:t>光照</w:t>
      </w:r>
    </w:p>
    <w:p>
      <w:pPr>
        <w:pStyle w:val="21"/>
        <w:snapToGrid w:val="0"/>
        <w:rPr>
          <w:color w:val="auto"/>
        </w:rPr>
      </w:pPr>
      <w:r>
        <w:rPr>
          <w:rFonts w:hint="eastAsia" w:asciiTheme="minorEastAsia" w:hAnsiTheme="minorEastAsia"/>
          <w:color w:val="auto"/>
          <w:szCs w:val="21"/>
        </w:rPr>
        <w:t>苗期保持光照强度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10000 </w:t>
      </w:r>
      <w:r>
        <w:rPr>
          <w:rFonts w:hint="eastAsia" w:asciiTheme="minorEastAsia" w:hAnsiTheme="minorEastAsia"/>
          <w:color w:val="auto"/>
          <w:szCs w:val="21"/>
        </w:rPr>
        <w:t>lx～12000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lx。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>花序抽出后</w:t>
      </w:r>
      <w:r>
        <w:rPr>
          <w:rFonts w:hint="eastAsia" w:asciiTheme="minorEastAsia" w:hAnsiTheme="minorEastAsia"/>
          <w:color w:val="auto"/>
          <w:szCs w:val="21"/>
        </w:rPr>
        <w:t>可全日照。</w:t>
      </w:r>
    </w:p>
    <w:p>
      <w:pPr>
        <w:pStyle w:val="48"/>
        <w:bidi w:val="0"/>
      </w:pPr>
      <w:r>
        <w:rPr>
          <w:rFonts w:hint="eastAsia"/>
        </w:rPr>
        <w:t>病虫害防治</w:t>
      </w:r>
    </w:p>
    <w:p>
      <w:pPr>
        <w:pStyle w:val="21"/>
        <w:snapToGrid w:val="0"/>
        <w:rPr>
          <w:rFonts w:hint="eastAsia" w:eastAsia="宋体"/>
          <w:lang w:val="en-US" w:eastAsia="zh-CN"/>
        </w:rPr>
      </w:pPr>
      <w:r>
        <w:rPr>
          <w:rFonts w:hint="eastAsia"/>
          <w:lang w:val="en-US" w:eastAsia="zh-CN"/>
        </w:rPr>
        <w:t>参照附录A进行防治。</w:t>
      </w:r>
    </w:p>
    <w:p>
      <w:pPr>
        <w:pStyle w:val="48"/>
        <w:bidi w:val="0"/>
        <w:rPr>
          <w:rFonts w:hint="eastAsia"/>
        </w:rPr>
      </w:pPr>
      <w:r>
        <w:rPr>
          <w:rFonts w:hint="eastAsia"/>
          <w:lang w:val="en-US" w:eastAsia="zh-CN"/>
        </w:rPr>
        <w:t>宿根栽培</w:t>
      </w:r>
    </w:p>
    <w:p>
      <w:pPr>
        <w:pStyle w:val="21"/>
        <w:rPr>
          <w:rFonts w:hint="default"/>
          <w:lang w:val="en-US"/>
        </w:rPr>
      </w:pPr>
      <w:r>
        <w:rPr>
          <w:rFonts w:hint="eastAsia"/>
          <w:lang w:val="en-US" w:eastAsia="zh-CN"/>
        </w:rPr>
        <w:t>植株枯萎后，地下种球可露地越冬，水分保持40%</w:t>
      </w:r>
      <w:r>
        <w:rPr>
          <w:rFonts w:hint="eastAsia"/>
        </w:rPr>
        <w:t>～</w:t>
      </w:r>
      <w:r>
        <w:rPr>
          <w:rFonts w:hint="eastAsia"/>
          <w:lang w:val="en-US" w:eastAsia="zh-CN"/>
        </w:rPr>
        <w:t>50%，翌年种球会再次萌发。</w:t>
      </w:r>
    </w:p>
    <w:p>
      <w:pPr>
        <w:pStyle w:val="39"/>
        <w:bidi w:val="0"/>
        <w:rPr>
          <w:rFonts w:hint="eastAsia" w:asciiTheme="minorEastAsia" w:hAnsiTheme="minorEastAsia"/>
          <w:color w:val="auto"/>
          <w:szCs w:val="21"/>
          <w:lang w:eastAsia="zh-CN"/>
        </w:rPr>
      </w:pPr>
      <w:r>
        <w:rPr>
          <w:rFonts w:hint="eastAsia"/>
          <w:color w:val="auto"/>
          <w:lang w:val="en-US" w:eastAsia="zh-CN"/>
        </w:rPr>
        <w:t>种球培育</w:t>
      </w:r>
    </w:p>
    <w:p>
      <w:pPr>
        <w:pStyle w:val="43"/>
        <w:bidi w:val="0"/>
        <w:rPr>
          <w:rFonts w:hint="eastAsia"/>
          <w:color w:val="auto"/>
          <w:lang w:eastAsia="zh-CN"/>
        </w:rPr>
      </w:pPr>
      <w:r>
        <w:rPr>
          <w:rFonts w:hint="eastAsia"/>
          <w:color w:val="auto"/>
          <w:lang w:val="en-US" w:eastAsia="zh-CN"/>
        </w:rPr>
        <w:t>土壤消毒</w:t>
      </w:r>
    </w:p>
    <w:p>
      <w:pPr>
        <w:pStyle w:val="21"/>
        <w:rPr>
          <w:rFonts w:hint="eastAsia"/>
          <w:color w:val="auto"/>
          <w:lang w:val="en-US" w:eastAsia="zh-CN"/>
        </w:rPr>
      </w:pPr>
      <w:r>
        <w:rPr>
          <w:color w:val="auto"/>
        </w:rPr>
        <w:t>每</w:t>
      </w:r>
      <w:r>
        <w:rPr>
          <w:rFonts w:hint="eastAsia" w:asciiTheme="minorEastAsia" w:hAnsiTheme="minorEastAsia"/>
          <w:color w:val="auto"/>
          <w:szCs w:val="21"/>
        </w:rPr>
        <w:t>667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m</w:t>
      </w:r>
      <w:r>
        <w:rPr>
          <w:rFonts w:hint="eastAsia" w:asciiTheme="minorEastAsia" w:hAnsiTheme="minorEastAsia"/>
          <w:color w:val="auto"/>
          <w:szCs w:val="21"/>
          <w:vertAlign w:val="superscript"/>
        </w:rPr>
        <w:t>2</w:t>
      </w:r>
      <w:r>
        <w:rPr>
          <w:color w:val="auto"/>
        </w:rPr>
        <w:t>均匀</w:t>
      </w:r>
      <w:r>
        <w:rPr>
          <w:rFonts w:hint="eastAsia"/>
          <w:color w:val="auto"/>
          <w:lang w:val="en-US" w:eastAsia="zh-CN"/>
        </w:rPr>
        <w:t>撒洒</w:t>
      </w:r>
      <w:r>
        <w:rPr>
          <w:color w:val="auto"/>
        </w:rPr>
        <w:t>150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color w:val="auto"/>
        </w:rPr>
        <w:t>kg生石灰</w:t>
      </w:r>
      <w:r>
        <w:rPr>
          <w:rFonts w:hint="eastAsia"/>
          <w:color w:val="auto"/>
          <w:lang w:val="en-US" w:eastAsia="zh-CN"/>
        </w:rPr>
        <w:t>。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肥料</w:t>
      </w:r>
    </w:p>
    <w:p>
      <w:pPr>
        <w:pStyle w:val="2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叶片长出后可追肥，同4.1.3.3。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水分</w:t>
      </w:r>
    </w:p>
    <w:p>
      <w:pPr>
        <w:pStyle w:val="2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同4.1.3.4。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光照</w:t>
      </w:r>
    </w:p>
    <w:p>
      <w:pPr>
        <w:pStyle w:val="21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同4.1.3.5。</w:t>
      </w:r>
    </w:p>
    <w:p>
      <w:pPr>
        <w:pStyle w:val="43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病虫害防治</w:t>
      </w:r>
    </w:p>
    <w:p>
      <w:pPr>
        <w:pStyle w:val="21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参照附录A进行防治。</w:t>
      </w:r>
    </w:p>
    <w:p>
      <w:pPr>
        <w:pStyle w:val="42"/>
        <w:snapToGrid w:val="0"/>
        <w:spacing w:before="156" w:beforeLines="50" w:after="102" w:afterLines="33"/>
      </w:pPr>
      <w:r>
        <w:rPr>
          <w:rFonts w:hint="eastAsia"/>
        </w:rPr>
        <w:t>采收</w:t>
      </w:r>
    </w:p>
    <w:p>
      <w:pPr>
        <w:pStyle w:val="39"/>
        <w:spacing w:before="156" w:after="156"/>
      </w:pPr>
      <w:r>
        <w:rPr>
          <w:rFonts w:hint="eastAsia"/>
        </w:rPr>
        <w:t>鲜花切取</w:t>
      </w:r>
    </w:p>
    <w:p>
      <w:pPr>
        <w:pStyle w:val="21"/>
      </w:pPr>
      <w:r>
        <w:rPr>
          <w:rFonts w:hint="eastAsia"/>
        </w:rPr>
        <w:t>每日7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时前或17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时后取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选</w:t>
      </w:r>
      <w:r>
        <w:rPr>
          <w:rFonts w:hint="eastAsia"/>
        </w:rPr>
        <w:t>真花开放朵</w:t>
      </w:r>
      <w:r>
        <w:rPr>
          <w:rFonts w:hint="eastAsia"/>
          <w:lang w:val="en-US" w:eastAsia="zh-CN"/>
        </w:rPr>
        <w:t>数</w:t>
      </w:r>
      <w:r>
        <w:rPr>
          <w:rFonts w:hint="eastAsia"/>
          <w:lang w:eastAsia="zh-CN"/>
        </w:rPr>
        <w:t>≤</w:t>
      </w:r>
      <w:r>
        <w:rPr>
          <w:rFonts w:hint="eastAsia"/>
        </w:rPr>
        <w:t>4</w:t>
      </w:r>
      <w:r>
        <w:rPr>
          <w:rFonts w:hint="eastAsia"/>
          <w:lang w:val="en-US" w:eastAsia="zh-CN"/>
        </w:rPr>
        <w:t>的</w:t>
      </w:r>
      <w:r>
        <w:rPr>
          <w:rFonts w:hint="eastAsia"/>
        </w:rPr>
        <w:t>花序，留1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个叶片附着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切取后立即</w:t>
      </w:r>
      <w:r>
        <w:rPr>
          <w:rFonts w:hint="eastAsia"/>
        </w:rPr>
        <w:t>插入净水中。</w:t>
      </w:r>
    </w:p>
    <w:p>
      <w:pPr>
        <w:pStyle w:val="39"/>
        <w:spacing w:before="156" w:after="156"/>
        <w:rPr>
          <w:color w:val="auto"/>
        </w:rPr>
      </w:pPr>
      <w:r>
        <w:rPr>
          <w:rFonts w:hint="eastAsia"/>
          <w:color w:val="auto"/>
          <w:lang w:val="en-US" w:eastAsia="zh-CN"/>
        </w:rPr>
        <w:t>繁育</w:t>
      </w:r>
      <w:r>
        <w:rPr>
          <w:rFonts w:hint="eastAsia"/>
          <w:color w:val="auto"/>
        </w:rPr>
        <w:t>种球收取</w:t>
      </w:r>
    </w:p>
    <w:p>
      <w:pPr>
        <w:pStyle w:val="21"/>
        <w:snapToGrid w:val="0"/>
      </w:pPr>
      <w:r>
        <w:rPr>
          <w:rFonts w:hint="eastAsia"/>
          <w:color w:val="auto"/>
          <w:lang w:val="en-US" w:eastAsia="zh-CN"/>
        </w:rPr>
        <w:t>经露地栽培</w:t>
      </w:r>
      <w:r>
        <w:rPr>
          <w:rFonts w:hint="eastAsia"/>
          <w:color w:val="auto"/>
        </w:rPr>
        <w:t>2</w:t>
      </w:r>
      <w:r>
        <w:rPr>
          <w:rFonts w:hint="eastAsia"/>
          <w:color w:val="auto"/>
          <w:lang w:val="en-US" w:eastAsia="zh-CN"/>
        </w:rPr>
        <w:t xml:space="preserve"> </w:t>
      </w:r>
      <w:r>
        <w:rPr>
          <w:rFonts w:hint="eastAsia"/>
          <w:color w:val="auto"/>
        </w:rPr>
        <w:t>年，地上部分枯萎</w:t>
      </w:r>
      <w:r>
        <w:rPr>
          <w:rFonts w:hint="eastAsia"/>
          <w:color w:val="auto"/>
          <w:lang w:val="en-US" w:eastAsia="zh-CN"/>
        </w:rPr>
        <w:t>后</w:t>
      </w:r>
      <w:r>
        <w:rPr>
          <w:rFonts w:hint="eastAsia"/>
          <w:color w:val="auto"/>
        </w:rPr>
        <w:t>可湿透基质，将种球连同贮藏根完整刨出。用</w:t>
      </w:r>
      <w:r>
        <w:rPr>
          <w:rFonts w:hint="eastAsia" w:asciiTheme="minorEastAsia" w:hAnsiTheme="minorEastAsia"/>
          <w:color w:val="auto"/>
          <w:szCs w:val="21"/>
        </w:rPr>
        <w:t>四环素</w:t>
      </w:r>
      <w:r>
        <w:rPr>
          <w:rFonts w:asciiTheme="minorEastAsia" w:hAnsiTheme="minorEastAsia"/>
          <w:color w:val="auto"/>
          <w:szCs w:val="21"/>
        </w:rPr>
        <w:t>4000</w:t>
      </w:r>
      <w:r>
        <w:rPr>
          <w:rFonts w:hint="eastAsia" w:asciiTheme="minorEastAsia" w:hAnsiTheme="minorEastAsia"/>
          <w:color w:val="auto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color w:val="auto"/>
          <w:szCs w:val="21"/>
        </w:rPr>
        <w:t>倍液或</w:t>
      </w:r>
      <w:r>
        <w:rPr>
          <w:rFonts w:hint="eastAsia" w:asciiTheme="minorEastAsia" w:hAnsiTheme="minorEastAsia"/>
          <w:szCs w:val="21"/>
          <w:lang w:eastAsia="zh-CN"/>
        </w:rPr>
        <w:t>精甲类</w:t>
      </w:r>
      <w:r>
        <w:rPr>
          <w:rFonts w:hint="eastAsia" w:asciiTheme="minorEastAsia" w:hAnsiTheme="minorEastAsia"/>
          <w:szCs w:val="21"/>
        </w:rPr>
        <w:t>杀菌悬浮剂</w:t>
      </w:r>
      <w:r>
        <w:rPr>
          <w:rFonts w:asciiTheme="minorEastAsia" w:hAnsiTheme="minorEastAsia"/>
          <w:szCs w:val="21"/>
        </w:rPr>
        <w:t>800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倍～</w:t>
      </w:r>
      <w:r>
        <w:rPr>
          <w:rFonts w:asciiTheme="minorEastAsia" w:hAnsiTheme="minorEastAsia"/>
          <w:szCs w:val="21"/>
        </w:rPr>
        <w:t>1000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倍液浸泡15</w:t>
      </w:r>
      <w:r>
        <w:rPr>
          <w:rFonts w:hint="eastAsia" w:asciiTheme="minorEastAsia" w:hAnsiTheme="minorEastAsia"/>
          <w:szCs w:val="21"/>
          <w:lang w:val="en-US" w:eastAsia="zh-CN"/>
        </w:rPr>
        <w:t xml:space="preserve"> </w:t>
      </w:r>
      <w:r>
        <w:rPr>
          <w:rFonts w:hint="eastAsia" w:asciiTheme="minorEastAsia" w:hAnsiTheme="minorEastAsia"/>
          <w:szCs w:val="21"/>
        </w:rPr>
        <w:t>min，晾干</w:t>
      </w:r>
      <w:r>
        <w:rPr>
          <w:rFonts w:hint="eastAsia"/>
        </w:rPr>
        <w:t>保存于18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℃以下环境中，湿度30%-50%。</w:t>
      </w:r>
    </w:p>
    <w:bookmarkEnd w:id="19"/>
    <w:bookmarkEnd w:id="20"/>
    <w:bookmarkEnd w:id="21"/>
    <w:p>
      <w:pPr>
        <w:pStyle w:val="42"/>
        <w:snapToGrid w:val="0"/>
        <w:spacing w:before="156" w:beforeLines="50" w:after="102" w:afterLines="33"/>
      </w:pPr>
      <w:bookmarkStart w:id="22" w:name="_Toc25142617"/>
      <w:bookmarkStart w:id="23" w:name="_Toc71705317"/>
      <w:r>
        <w:rPr>
          <w:rFonts w:hint="eastAsia"/>
          <w:lang w:val="en-US" w:eastAsia="zh-CN"/>
        </w:rPr>
        <w:t>分级、</w:t>
      </w:r>
      <w:r>
        <w:rPr>
          <w:rFonts w:hint="eastAsia"/>
        </w:rPr>
        <w:t>包装</w:t>
      </w:r>
      <w:r>
        <w:rPr>
          <w:rFonts w:hint="eastAsia"/>
          <w:lang w:eastAsia="zh-CN"/>
        </w:rPr>
        <w:t>、</w:t>
      </w:r>
      <w:r>
        <w:rPr>
          <w:rFonts w:hint="eastAsia"/>
        </w:rPr>
        <w:t>运输</w:t>
      </w:r>
      <w:bookmarkEnd w:id="22"/>
      <w:bookmarkEnd w:id="23"/>
    </w:p>
    <w:p>
      <w:pPr>
        <w:pStyle w:val="39"/>
        <w:snapToGrid w:val="0"/>
        <w:spacing w:beforeLines="0" w:after="106" w:afterLines="34"/>
        <w:rPr>
          <w:color w:val="auto"/>
        </w:rPr>
      </w:pPr>
      <w:r>
        <w:rPr>
          <w:rFonts w:hint="eastAsia"/>
          <w:color w:val="auto"/>
          <w:lang w:val="en-US" w:eastAsia="zh-CN"/>
        </w:rPr>
        <w:t>分级</w:t>
      </w:r>
    </w:p>
    <w:p>
      <w:pPr>
        <w:pStyle w:val="21"/>
        <w:snapToGrid w:val="0"/>
        <w:rPr>
          <w:rFonts w:hint="eastAsia" w:eastAsia="宋体"/>
          <w:lang w:val="en-US" w:eastAsia="zh-CN"/>
        </w:rPr>
      </w:pPr>
      <w:r>
        <w:rPr>
          <w:rFonts w:hint="eastAsia"/>
        </w:rPr>
        <w:t>瓶苗高10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cm～15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cm</w:t>
      </w:r>
      <w:r>
        <w:rPr>
          <w:rFonts w:hint="eastAsia"/>
          <w:lang w:eastAsia="zh-CN"/>
        </w:rPr>
        <w:t>，</w:t>
      </w:r>
      <w:r>
        <w:rPr>
          <w:rFonts w:hint="eastAsia"/>
        </w:rPr>
        <w:t>叶片</w:t>
      </w:r>
      <w:r>
        <w:rPr>
          <w:rFonts w:hint="eastAsia"/>
          <w:lang w:val="en-US" w:eastAsia="zh-CN"/>
        </w:rPr>
        <w:t>数≥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>片</w:t>
      </w:r>
      <w:r>
        <w:rPr>
          <w:rFonts w:hint="eastAsia"/>
          <w:lang w:eastAsia="zh-CN"/>
        </w:rPr>
        <w:t>，</w:t>
      </w:r>
      <w:r>
        <w:rPr>
          <w:rFonts w:hint="eastAsia"/>
        </w:rPr>
        <w:t>根</w:t>
      </w:r>
      <w:r>
        <w:rPr>
          <w:rFonts w:hint="eastAsia"/>
          <w:lang w:val="en-US" w:eastAsia="zh-CN"/>
        </w:rPr>
        <w:t>条数≥</w:t>
      </w:r>
      <w:r>
        <w:rPr>
          <w:rFonts w:hint="eastAsia"/>
        </w:rPr>
        <w:t>5</w:t>
      </w:r>
      <w:r>
        <w:rPr>
          <w:rFonts w:hint="eastAsia"/>
          <w:lang w:val="en-US" w:eastAsia="zh-CN"/>
        </w:rPr>
        <w:t>条</w:t>
      </w:r>
      <w:r>
        <w:rPr>
          <w:rFonts w:hint="eastAsia"/>
          <w:lang w:eastAsia="zh-CN"/>
        </w:rPr>
        <w:t>，</w:t>
      </w:r>
      <w:r>
        <w:rPr>
          <w:rFonts w:hint="eastAsia"/>
          <w:lang w:val="en-US" w:eastAsia="zh-CN"/>
        </w:rPr>
        <w:t>无变异株，为A级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其中一项未达到则为B级。</w:t>
      </w:r>
    </w:p>
    <w:p>
      <w:pPr>
        <w:pStyle w:val="21"/>
        <w:snapToGrid w:val="0"/>
      </w:pPr>
      <w:r>
        <w:rPr>
          <w:rFonts w:hint="eastAsia"/>
        </w:rPr>
        <w:t>盆栽叶片</w:t>
      </w:r>
      <w:r>
        <w:rPr>
          <w:rFonts w:hint="eastAsia"/>
          <w:lang w:val="en-US" w:eastAsia="zh-CN"/>
        </w:rPr>
        <w:t xml:space="preserve">20 </w:t>
      </w:r>
      <w:r>
        <w:rPr>
          <w:rFonts w:hint="eastAsia" w:asciiTheme="minorEastAsia" w:hAnsiTheme="minorEastAsia"/>
          <w:szCs w:val="21"/>
        </w:rPr>
        <w:t>cm～</w:t>
      </w:r>
      <w:r>
        <w:rPr>
          <w:rFonts w:hint="eastAsia" w:asciiTheme="minorEastAsia" w:hAnsiTheme="minorEastAsia"/>
          <w:szCs w:val="21"/>
          <w:lang w:val="en-US" w:eastAsia="zh-CN"/>
        </w:rPr>
        <w:t>4</w:t>
      </w:r>
      <w:r>
        <w:rPr>
          <w:rFonts w:hint="eastAsia"/>
          <w:lang w:val="en-US" w:eastAsia="zh-CN"/>
        </w:rPr>
        <w:t xml:space="preserve">0 </w:t>
      </w:r>
      <w:r>
        <w:rPr>
          <w:rFonts w:hint="eastAsia" w:asciiTheme="minorEastAsia" w:hAnsiTheme="minorEastAsia"/>
          <w:szCs w:val="21"/>
        </w:rPr>
        <w:t>cm</w:t>
      </w:r>
      <w:r>
        <w:rPr>
          <w:rFonts w:hint="eastAsia" w:asciiTheme="minorEastAsia" w:hAnsiTheme="minorEastAsia"/>
          <w:szCs w:val="21"/>
          <w:lang w:val="en-US" w:eastAsia="zh-CN"/>
        </w:rPr>
        <w:t>长，</w:t>
      </w:r>
      <w:r>
        <w:rPr>
          <w:rFonts w:hint="eastAsia"/>
        </w:rPr>
        <w:t>挺拔厚实，无</w:t>
      </w:r>
      <w:r>
        <w:rPr>
          <w:rFonts w:hint="eastAsia"/>
          <w:lang w:val="en-US" w:eastAsia="zh-CN"/>
        </w:rPr>
        <w:t>破损</w:t>
      </w:r>
      <w:r>
        <w:rPr>
          <w:rFonts w:hint="eastAsia"/>
        </w:rPr>
        <w:t>或斑纹</w:t>
      </w:r>
      <w:r>
        <w:rPr>
          <w:rFonts w:hint="eastAsia"/>
          <w:lang w:val="en-US" w:eastAsia="zh-CN"/>
        </w:rPr>
        <w:t>，为A级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其中一项未达到则为B级。</w:t>
      </w:r>
    </w:p>
    <w:p>
      <w:pPr>
        <w:pStyle w:val="21"/>
        <w:snapToGrid w:val="0"/>
      </w:pPr>
      <w:r>
        <w:rPr>
          <w:rFonts w:hint="eastAsia"/>
        </w:rPr>
        <w:t>鲜切花</w:t>
      </w:r>
      <w:r>
        <w:rPr>
          <w:rFonts w:hint="eastAsia"/>
          <w:lang w:val="en-US" w:eastAsia="zh-CN"/>
        </w:rPr>
        <w:t xml:space="preserve">30 </w:t>
      </w:r>
      <w:r>
        <w:rPr>
          <w:rFonts w:hint="eastAsia" w:asciiTheme="minorEastAsia" w:hAnsiTheme="minorEastAsia"/>
          <w:szCs w:val="21"/>
        </w:rPr>
        <w:t>cm～</w:t>
      </w:r>
      <w:r>
        <w:rPr>
          <w:rFonts w:hint="eastAsia"/>
          <w:lang w:val="en-US" w:eastAsia="zh-CN"/>
        </w:rPr>
        <w:t xml:space="preserve">50 </w:t>
      </w:r>
      <w:r>
        <w:rPr>
          <w:rFonts w:hint="eastAsia" w:asciiTheme="minorEastAsia" w:hAnsiTheme="minorEastAsia"/>
          <w:szCs w:val="21"/>
        </w:rPr>
        <w:t>cm</w:t>
      </w:r>
      <w:r>
        <w:rPr>
          <w:rFonts w:hint="eastAsia" w:asciiTheme="minorEastAsia" w:hAnsiTheme="minorEastAsia"/>
          <w:szCs w:val="21"/>
          <w:lang w:val="en-US" w:eastAsia="zh-CN"/>
        </w:rPr>
        <w:t>长，花梗直径≥1.5 cm</w:t>
      </w:r>
      <w:r>
        <w:rPr>
          <w:rFonts w:hint="eastAsia"/>
        </w:rPr>
        <w:t>，无</w:t>
      </w:r>
      <w:r>
        <w:rPr>
          <w:rFonts w:hint="eastAsia"/>
          <w:lang w:val="en-US" w:eastAsia="zh-CN"/>
        </w:rPr>
        <w:t>破损</w:t>
      </w:r>
      <w:r>
        <w:rPr>
          <w:rFonts w:hint="eastAsia"/>
        </w:rPr>
        <w:t>或斑纹</w:t>
      </w:r>
      <w:r>
        <w:rPr>
          <w:rFonts w:hint="eastAsia"/>
          <w:lang w:val="en-US" w:eastAsia="zh-CN"/>
        </w:rPr>
        <w:t>，为A级</w:t>
      </w:r>
      <w:r>
        <w:rPr>
          <w:rFonts w:hint="eastAsia"/>
        </w:rPr>
        <w:t>。</w:t>
      </w:r>
      <w:r>
        <w:rPr>
          <w:rFonts w:hint="eastAsia"/>
          <w:lang w:val="en-US" w:eastAsia="zh-CN"/>
        </w:rPr>
        <w:t>其中一项未达到则为B级</w:t>
      </w:r>
      <w:r>
        <w:rPr>
          <w:rFonts w:hint="eastAsia"/>
        </w:rPr>
        <w:t>。</w:t>
      </w:r>
    </w:p>
    <w:p>
      <w:pPr>
        <w:pStyle w:val="21"/>
      </w:pPr>
      <w:r>
        <w:rPr>
          <w:rFonts w:hint="eastAsia"/>
        </w:rPr>
        <w:t>种球饱满无破损，</w:t>
      </w:r>
      <w:r>
        <w:rPr>
          <w:rFonts w:hint="eastAsia" w:asciiTheme="minorEastAsia" w:hAnsiTheme="minorEastAsia"/>
          <w:szCs w:val="21"/>
          <w:lang w:val="en-US" w:eastAsia="zh-CN"/>
        </w:rPr>
        <w:t>直径≥2 cm，</w:t>
      </w:r>
      <w:r>
        <w:rPr>
          <w:rFonts w:hint="eastAsia"/>
        </w:rPr>
        <w:t>贮藏根</w:t>
      </w:r>
      <w:r>
        <w:rPr>
          <w:rFonts w:hint="eastAsia"/>
          <w:lang w:val="en-US" w:eastAsia="zh-CN"/>
        </w:rPr>
        <w:t>≥</w:t>
      </w:r>
      <w:r>
        <w:rPr>
          <w:rFonts w:hint="eastAsia"/>
        </w:rPr>
        <w:t>3</w:t>
      </w:r>
      <w:r>
        <w:rPr>
          <w:rFonts w:hint="eastAsia"/>
          <w:lang w:val="en-US" w:eastAsia="zh-CN"/>
        </w:rPr>
        <w:t xml:space="preserve"> 个，为A级</w:t>
      </w:r>
      <w:bookmarkStart w:id="24" w:name="_GoBack"/>
      <w:r>
        <w:rPr>
          <w:rFonts w:hint="eastAsia"/>
        </w:rPr>
        <w:t>。</w:t>
      </w:r>
      <w:bookmarkEnd w:id="24"/>
      <w:r>
        <w:rPr>
          <w:rFonts w:hint="eastAsia"/>
          <w:lang w:val="en-US" w:eastAsia="zh-CN"/>
        </w:rPr>
        <w:t>其中一项未达到则为B级</w:t>
      </w:r>
      <w:r>
        <w:rPr>
          <w:rFonts w:hint="eastAsia"/>
        </w:rPr>
        <w:t>。</w:t>
      </w:r>
    </w:p>
    <w:p>
      <w:pPr>
        <w:pStyle w:val="39"/>
        <w:snapToGrid w:val="0"/>
        <w:spacing w:beforeLines="0" w:after="106" w:afterLines="34"/>
      </w:pPr>
      <w:r>
        <w:rPr>
          <w:rFonts w:hint="eastAsia"/>
        </w:rPr>
        <w:t>包装</w:t>
      </w:r>
    </w:p>
    <w:p>
      <w:pPr>
        <w:pStyle w:val="21"/>
        <w:snapToGrid w:val="0"/>
        <w:rPr>
          <w:rFonts w:hAnsi="宋体"/>
        </w:rPr>
      </w:pPr>
      <w:r>
        <w:rPr>
          <w:rFonts w:hint="eastAsia" w:hAnsi="宋体"/>
        </w:rPr>
        <w:t>瓶苗</w:t>
      </w:r>
      <w:r>
        <w:rPr>
          <w:rFonts w:hint="eastAsia" w:hAnsi="宋体"/>
          <w:lang w:eastAsia="zh-CN"/>
        </w:rPr>
        <w:t>、</w:t>
      </w:r>
      <w:r>
        <w:rPr>
          <w:rFonts w:hint="eastAsia" w:hAnsi="宋体"/>
        </w:rPr>
        <w:t>盆栽用硬纸板单</w:t>
      </w:r>
      <w:r>
        <w:rPr>
          <w:rFonts w:hint="eastAsia" w:hAnsi="宋体"/>
          <w:lang w:val="en-US" w:eastAsia="zh-CN"/>
        </w:rPr>
        <w:t>件分</w:t>
      </w:r>
      <w:r>
        <w:rPr>
          <w:rFonts w:hint="eastAsia" w:hAnsi="宋体"/>
        </w:rPr>
        <w:t>隔。</w:t>
      </w:r>
    </w:p>
    <w:p>
      <w:pPr>
        <w:pStyle w:val="21"/>
        <w:snapToGrid w:val="0"/>
        <w:rPr>
          <w:rFonts w:hAnsi="宋体"/>
        </w:rPr>
      </w:pPr>
      <w:r>
        <w:rPr>
          <w:rFonts w:hint="eastAsia" w:hAnsi="宋体"/>
        </w:rPr>
        <w:t>鲜切花</w:t>
      </w:r>
      <w:r>
        <w:rPr>
          <w:rFonts w:hint="eastAsia" w:hAnsi="宋体"/>
          <w:lang w:val="en-US" w:eastAsia="zh-CN"/>
        </w:rPr>
        <w:t>用</w:t>
      </w:r>
      <w:r>
        <w:rPr>
          <w:rFonts w:hint="eastAsia" w:hAnsi="宋体"/>
        </w:rPr>
        <w:t>玻璃纸袋或无纺布袋</w:t>
      </w:r>
      <w:r>
        <w:rPr>
          <w:rFonts w:hint="eastAsia" w:hAnsi="宋体"/>
          <w:lang w:val="en-US" w:eastAsia="zh-CN"/>
        </w:rPr>
        <w:t>单枝套装</w:t>
      </w:r>
      <w:r>
        <w:rPr>
          <w:rFonts w:hint="eastAsia" w:hAnsi="宋体"/>
        </w:rPr>
        <w:t>。</w:t>
      </w:r>
    </w:p>
    <w:p>
      <w:pPr>
        <w:pStyle w:val="21"/>
        <w:snapToGrid w:val="0"/>
        <w:rPr>
          <w:rFonts w:hAnsi="宋体"/>
        </w:rPr>
      </w:pPr>
      <w:r>
        <w:rPr>
          <w:rFonts w:hint="eastAsia" w:hAnsi="宋体"/>
        </w:rPr>
        <w:t>种球以泡沫垫或无纺布隔层。</w:t>
      </w:r>
    </w:p>
    <w:p>
      <w:pPr>
        <w:pStyle w:val="21"/>
        <w:snapToGrid w:val="0"/>
      </w:pPr>
      <w:r>
        <w:rPr>
          <w:rFonts w:hint="eastAsia" w:hAnsi="宋体"/>
        </w:rPr>
        <w:t>包装箱外标明上下朝向、</w:t>
      </w:r>
      <w:r>
        <w:rPr>
          <w:rFonts w:hint="eastAsia" w:hAnsi="宋体"/>
          <w:lang w:val="en-US" w:eastAsia="zh-CN"/>
        </w:rPr>
        <w:t>品名</w:t>
      </w:r>
      <w:r>
        <w:rPr>
          <w:rFonts w:hint="eastAsia" w:hAnsi="宋体"/>
        </w:rPr>
        <w:t>、数量、日期、生产单位、地址及注意事项，打孔透气。</w:t>
      </w:r>
    </w:p>
    <w:p>
      <w:pPr>
        <w:pStyle w:val="39"/>
        <w:snapToGrid w:val="0"/>
        <w:spacing w:before="106" w:beforeLines="34" w:after="106" w:afterLines="34"/>
      </w:pPr>
      <w:r>
        <w:rPr>
          <w:rFonts w:hint="eastAsia"/>
        </w:rPr>
        <w:t>运输</w:t>
      </w:r>
    </w:p>
    <w:p>
      <w:pPr>
        <w:pStyle w:val="21"/>
        <w:snapToGrid w:val="0"/>
        <w:rPr>
          <w:rFonts w:hAnsi="宋体"/>
        </w:rPr>
      </w:pPr>
      <w:r>
        <w:rPr>
          <w:rFonts w:hint="eastAsia" w:hAnsi="宋体"/>
        </w:rPr>
        <w:t>运输以冷链车为佳，</w:t>
      </w:r>
      <w:r>
        <w:rPr>
          <w:rFonts w:hint="eastAsia" w:hAnsi="宋体"/>
          <w:lang w:val="en-US" w:eastAsia="zh-CN"/>
        </w:rPr>
        <w:t>严禁</w:t>
      </w:r>
      <w:r>
        <w:rPr>
          <w:rFonts w:hint="eastAsia" w:hAnsi="宋体"/>
        </w:rPr>
        <w:t>倒置、侧放、剧烈颠簸，到达后尽快拆包取出。</w:t>
      </w:r>
    </w:p>
    <w:p>
      <w:pPr>
        <w:pStyle w:val="21"/>
        <w:snapToGrid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br w:type="page"/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附录A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（资料性）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姜荷花主要病虫害药剂防治方法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left="0" w:leftChars="0" w:firstLine="420" w:firstLineChars="200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姜荷花主要病虫害药剂防治方法见表A.1。</w:t>
      </w:r>
    </w:p>
    <w:p>
      <w:pPr>
        <w:pStyle w:val="21"/>
        <w:keepNext w:val="0"/>
        <w:keepLines w:val="0"/>
        <w:pageBreakBefore w:val="0"/>
        <w:widowControl/>
        <w:kinsoku/>
        <w:wordWrap/>
        <w:overflowPunct/>
        <w:topLinePunct w:val="0"/>
        <w:autoSpaceDE w:val="0"/>
        <w:autoSpaceDN w:val="0"/>
        <w:bidi w:val="0"/>
        <w:adjustRightInd/>
        <w:snapToGrid w:val="0"/>
        <w:spacing w:line="360" w:lineRule="auto"/>
        <w:ind w:left="0" w:leftChars="0" w:firstLine="0" w:firstLineChars="0"/>
        <w:jc w:val="center"/>
        <w:textAlignment w:val="auto"/>
        <w:outlineLvl w:val="9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表A.1  姜荷花主要病虫害药剂防治</w:t>
      </w:r>
    </w:p>
    <w:tbl>
      <w:tblPr>
        <w:tblStyle w:val="37"/>
        <w:tblW w:w="764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34"/>
        <w:gridCol w:w="1035"/>
        <w:gridCol w:w="3962"/>
        <w:gridCol w:w="19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0" w:hRule="atLeast"/>
          <w:jc w:val="center"/>
        </w:trPr>
        <w:tc>
          <w:tcPr>
            <w:tcW w:w="1769" w:type="dxa"/>
            <w:gridSpan w:val="2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名称</w:t>
            </w:r>
          </w:p>
        </w:tc>
        <w:tc>
          <w:tcPr>
            <w:tcW w:w="3962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推荐使用药剂及浓度</w:t>
            </w:r>
          </w:p>
        </w:tc>
        <w:tc>
          <w:tcPr>
            <w:tcW w:w="1911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使用方法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4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病害</w:t>
            </w: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赤斑病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</w:rPr>
              <w:t>75%百菌清可湿性粉剂500倍～800倍液</w:t>
            </w:r>
            <w:r>
              <w:rPr>
                <w:rFonts w:hint="eastAsia"/>
                <w:lang w:val="en-US" w:eastAsia="zh-CN"/>
              </w:rPr>
              <w:t>、</w:t>
            </w:r>
            <w:r>
              <w:rPr>
                <w:rFonts w:hint="eastAsia"/>
              </w:rPr>
              <w:t>50%多菌灵可湿性粉剂500倍～800倍液、50%退菌特可湿性粉剂300倍～500倍液</w:t>
            </w:r>
            <w:r>
              <w:rPr>
                <w:rFonts w:hint="eastAsia"/>
                <w:lang w:val="en-US" w:eastAsia="zh-CN"/>
              </w:rPr>
              <w:t>或</w:t>
            </w:r>
            <w:r>
              <w:rPr>
                <w:rFonts w:hint="eastAsia"/>
              </w:rPr>
              <w:t>70%代森锰锌可湿性粉剂500倍～800倍液</w:t>
            </w:r>
          </w:p>
        </w:tc>
        <w:tc>
          <w:tcPr>
            <w:tcW w:w="1911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rFonts w:hint="eastAsia" w:eastAsia="宋体"/>
                <w:vertAlign w:val="baseline"/>
                <w:lang w:eastAsia="zh-CN"/>
              </w:rPr>
            </w:pPr>
            <w:r>
              <w:rPr>
                <w:rFonts w:hint="eastAsia"/>
              </w:rPr>
              <w:t>每隔5d～7d喷叶面，交替连续使用2次～3次防治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4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炭疽病</w:t>
            </w:r>
          </w:p>
        </w:tc>
        <w:tc>
          <w:tcPr>
            <w:tcW w:w="3962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911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  <w:jc w:val="center"/>
        </w:trPr>
        <w:tc>
          <w:tcPr>
            <w:tcW w:w="734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疫病</w:t>
            </w:r>
          </w:p>
        </w:tc>
        <w:tc>
          <w:tcPr>
            <w:tcW w:w="3962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911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34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rFonts w:hint="eastAsia" w:eastAsia="宋体"/>
                <w:vertAlign w:val="baseline"/>
                <w:lang w:val="en-US" w:eastAsia="zh-CN"/>
              </w:rPr>
            </w:pPr>
            <w:r>
              <w:rPr>
                <w:rFonts w:hint="eastAsia"/>
                <w:vertAlign w:val="baseline"/>
                <w:lang w:val="en-US" w:eastAsia="zh-CN"/>
              </w:rPr>
              <w:t>虫害</w:t>
            </w: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蚜虫</w:t>
            </w:r>
          </w:p>
        </w:tc>
        <w:tc>
          <w:tcPr>
            <w:tcW w:w="3962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  <w:r>
              <w:rPr>
                <w:rFonts w:hint="eastAsia"/>
              </w:rPr>
              <w:t>1.8%阿维甲氰乳油1200倍液、22%阿立卡悬浮剂4000倍液</w:t>
            </w:r>
          </w:p>
        </w:tc>
        <w:tc>
          <w:tcPr>
            <w:tcW w:w="1911" w:type="dxa"/>
            <w:vMerge w:val="restart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  <w:r>
              <w:rPr>
                <w:rFonts w:hint="eastAsia"/>
              </w:rPr>
              <w:t>每隔5d～7d交替使用喷叶面，连续2次～3次防治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34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蛾</w:t>
            </w:r>
          </w:p>
        </w:tc>
        <w:tc>
          <w:tcPr>
            <w:tcW w:w="3962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911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  <w:jc w:val="center"/>
        </w:trPr>
        <w:tc>
          <w:tcPr>
            <w:tcW w:w="734" w:type="dxa"/>
            <w:vMerge w:val="continue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</w:p>
        </w:tc>
        <w:tc>
          <w:tcPr>
            <w:tcW w:w="1035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jc w:val="center"/>
              <w:rPr>
                <w:vertAlign w:val="baseline"/>
              </w:rPr>
            </w:pPr>
            <w:r>
              <w:rPr>
                <w:rFonts w:hint="eastAsia"/>
              </w:rPr>
              <w:t>蝼蛄</w:t>
            </w:r>
          </w:p>
        </w:tc>
        <w:tc>
          <w:tcPr>
            <w:tcW w:w="3962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  <w:r>
              <w:rPr>
                <w:rFonts w:hint="eastAsia"/>
              </w:rPr>
              <w:t>3%甲基异柳磷颗粒</w:t>
            </w:r>
            <w:r>
              <w:rPr>
                <w:rFonts w:hint="eastAsia"/>
                <w:lang w:eastAsia="zh-CN"/>
              </w:rPr>
              <w:t>、</w:t>
            </w:r>
            <w:r>
              <w:rPr>
                <w:rFonts w:hint="eastAsia"/>
              </w:rPr>
              <w:t>5%辛硫磷颗粒</w:t>
            </w:r>
          </w:p>
        </w:tc>
        <w:tc>
          <w:tcPr>
            <w:tcW w:w="1911" w:type="dxa"/>
            <w:vAlign w:val="center"/>
          </w:tcPr>
          <w:p>
            <w:pPr>
              <w:pStyle w:val="126"/>
              <w:framePr w:hSpace="0" w:vSpace="0" w:wrap="auto" w:vAnchor="margin" w:hAnchor="text" w:xAlign="left" w:yAlign="inline"/>
              <w:snapToGrid w:val="0"/>
              <w:rPr>
                <w:vertAlign w:val="baseline"/>
              </w:rPr>
            </w:pPr>
            <w:r>
              <w:rPr>
                <w:rFonts w:hint="eastAsia"/>
              </w:rPr>
              <w:t>3kg～</w:t>
            </w:r>
            <w:r>
              <w:rPr>
                <w:rFonts w:hint="eastAsia"/>
                <w:lang w:val="en-US" w:eastAsia="zh-CN"/>
              </w:rPr>
              <w:t>3.</w:t>
            </w:r>
            <w:r>
              <w:rPr>
                <w:rFonts w:hint="eastAsia"/>
              </w:rPr>
              <w:t>5kg/</w:t>
            </w:r>
            <w:r>
              <w:rPr>
                <w:rFonts w:hint="eastAsia" w:asciiTheme="minorEastAsia" w:hAnsiTheme="minorEastAsia"/>
                <w:szCs w:val="21"/>
              </w:rPr>
              <w:t>667m</w:t>
            </w:r>
            <w:r>
              <w:rPr>
                <w:rFonts w:hint="eastAsia" w:asciiTheme="minorEastAsia" w:hAnsiTheme="minorEastAsia"/>
                <w:szCs w:val="21"/>
                <w:vertAlign w:val="superscript"/>
              </w:rPr>
              <w:t>2</w:t>
            </w:r>
            <w:r>
              <w:rPr>
                <w:rFonts w:hint="eastAsia"/>
              </w:rPr>
              <w:t>拌土防治</w:t>
            </w:r>
          </w:p>
        </w:tc>
      </w:tr>
    </w:tbl>
    <w:p>
      <w:pPr>
        <w:pStyle w:val="21"/>
        <w:snapToGrid w:val="0"/>
        <w:ind w:left="0" w:leftChars="0" w:firstLine="0" w:firstLineChars="0"/>
      </w:pPr>
    </w:p>
    <w:p>
      <w:pPr>
        <w:pStyle w:val="126"/>
        <w:framePr w:vAnchor="text" w:hAnchor="page" w:x="4197" w:y="320"/>
        <w:snapToGrid w:val="0"/>
        <w:jc w:val="center"/>
      </w:pPr>
      <w:r>
        <w:t>_________________________________</w:t>
      </w:r>
    </w:p>
    <w:p>
      <w:pPr>
        <w:pStyle w:val="126"/>
        <w:framePr w:hSpace="0" w:vSpace="0" w:wrap="auto" w:vAnchor="margin" w:hAnchor="text" w:xAlign="left" w:yAlign="inline"/>
        <w:snapToGrid w:val="0"/>
        <w:rPr>
          <w:rFonts w:hint="eastAsia" w:eastAsia="宋体"/>
          <w:lang w:val="en-US" w:eastAsia="zh-CN"/>
        </w:rPr>
      </w:pPr>
    </w:p>
    <w:sectPr>
      <w:footerReference r:id="rId11" w:type="default"/>
      <w:footerReference r:id="rId12" w:type="even"/>
      <w:pgSz w:w="11906" w:h="16838"/>
      <w:pgMar w:top="567" w:right="1134" w:bottom="1134" w:left="1418" w:header="1418" w:footer="1134" w:gutter="0"/>
      <w:pgNumType w:fmt="decimal" w:start="1"/>
      <w:cols w:space="425" w:num="1"/>
      <w:formProt w:val="0"/>
      <w:docGrid w:type="lines" w:linePitch="312" w:charSpace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wordWrap w:val="0"/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/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  <w:rPr>
        <w:rFonts w:hint="eastAsia" w:eastAsia="宋体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posOffset>285750</wp:posOffset>
              </wp:positionH>
              <wp:positionV relativeFrom="paragraph">
                <wp:posOffset>-8890</wp:posOffset>
              </wp:positionV>
              <wp:extent cx="281940" cy="299720"/>
              <wp:effectExtent l="0" t="0" r="0" b="0"/>
              <wp:wrapNone/>
              <wp:docPr id="6" name="文本框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281940" cy="29972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5867261"/>
                          </w:sdtPr>
                          <w:sdtEndPr>
                            <w:rPr>
                              <w:lang w:val="en-US"/>
                            </w:rPr>
                          </w:sdtEndPr>
                          <w:sdtContent>
                            <w:p>
                              <w:pPr>
                                <w:pStyle w:val="15"/>
                                <w:jc w:val="left"/>
                                <w:rPr>
                                  <w:lang w:val="en-US"/>
                                </w:rPr>
                              </w:pP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square" lIns="0" tIns="0" rIns="0" bIns="0" numCol="1" spcCol="0" rtlCol="0" fromWordArt="0" anchor="t" anchorCtr="0" forceAA="0" upright="0" compatLnSpc="1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left:22.5pt;margin-top:-0.7pt;height:23.6pt;width:22.2pt;mso-position-horizontal-relative:margin;z-index:251660288;mso-width-relative:page;mso-height-relative:page;" filled="f" stroked="f" coordsize="21600,21600" o:gfxdata="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C6LNid1gAAAAcBAAAP&#10;AAAAAAAAAAEAIAAAACIAAABkcnMvZG93bnJldi54bWxQSwECFAAUAAAACACHTuJANI2VLBoCAAAT&#10;BAAADgAAAAAAAAABACAAAAAlAQAAZHJzL2Uyb0RvYy54bWxQSwUGAAAAAAYABgBZAQAAsQUAAAAA&#10;">
              <v:fill on="f" focussize="0,0"/>
              <v:stroke on="f" weight="0.5pt"/>
              <v:imagedata o:title=""/>
              <o:lock v:ext="edit" aspectratio="f"/>
              <v:textbox inset="0mm,0mm,0mm,0mm">
                <w:txbxContent>
                  <w:sdt>
                    <w:sdtPr>
                      <w:id w:val="5867261"/>
                    </w:sdtPr>
                    <w:sdtEndPr>
                      <w:rPr>
                        <w:lang w:val="en-US"/>
                      </w:rPr>
                    </w:sdtEndPr>
                    <w:sdtContent>
                      <w:p>
                        <w:pPr>
                          <w:pStyle w:val="15"/>
                          <w:jc w:val="left"/>
                          <w:rPr>
                            <w:lang w:val="en-US"/>
                          </w:rPr>
                        </w:pP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4"/>
      <w:rPr>
        <w:rFonts w:hint="eastAsia" w:eastAsia="宋体"/>
        <w:lang w:val="en-US" w:eastAsia="zh-CN"/>
      </w:rPr>
    </w:pPr>
    <w:r>
      <w:rPr>
        <w:rFonts w:hint="eastAsia"/>
        <w:lang w:val="en-US" w:eastAsia="zh-CN"/>
      </w:rPr>
      <w:t>Ⅰ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5"/>
    </w:pPr>
    <w:r>
      <w:fldChar w:fldCharType="begin"/>
    </w:r>
    <w:r>
      <w:instrText xml:space="preserve"> PAGE   \* MERGEFORMAT \* MERGEFORMAT </w:instrText>
    </w:r>
    <w:r>
      <w:fldChar w:fldCharType="separate"/>
    </w:r>
    <w:r>
      <w:t>II</w:t>
    </w:r>
    <w:r>
      <w:fldChar w:fldCharType="end"/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0"/>
      <w:wordWrap w:val="0"/>
    </w:pPr>
    <w:r>
      <w:rPr>
        <w:sz w:val="18"/>
      </w:rP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8" name="文本框 8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15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131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15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  <w:r>
      <w:rPr>
        <w:rFonts w:hint="eastAsia"/>
      </w:rPr>
      <w:t xml:space="preserve"> 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5"/>
      <w:jc w:val="left"/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9" name="文本框 9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sdt>
                          <w:sdtPr>
                            <w:id w:val="5867261"/>
                          </w:sdtPr>
                          <w:sdtContent>
                            <w:p>
                              <w:pPr>
                                <w:pStyle w:val="15"/>
                                <w:jc w:val="left"/>
                              </w:pPr>
                              <w:r>
                                <w:fldChar w:fldCharType="begin"/>
                              </w:r>
                              <w:r>
                                <w:instrText xml:space="preserve"> PAGE   \* MERGEFORMAT </w:instrText>
                              </w:r>
                              <w:r>
                                <w:fldChar w:fldCharType="separate"/>
                              </w:r>
                              <w:r>
                                <w:rPr>
                                  <w:lang w:val="zh-CN"/>
                                </w:rPr>
                                <w:t>4</w:t>
                              </w:r>
                              <w:r>
                                <w:rPr>
                                  <w:lang w:val="zh-CN"/>
                                </w:rPr>
                                <w:fldChar w:fldCharType="end"/>
                              </w:r>
                            </w:p>
                          </w:sdtContent>
                        </w:sdt>
                        <w:p/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sdt>
                    <w:sdtPr>
                      <w:id w:val="5867261"/>
                    </w:sdtPr>
                    <w:sdtContent>
                      <w:p>
                        <w:pPr>
                          <w:pStyle w:val="15"/>
                          <w:jc w:val="left"/>
                        </w:pPr>
                        <w:r>
                          <w:fldChar w:fldCharType="begin"/>
                        </w:r>
                        <w:r>
                          <w:instrText xml:space="preserve"> PAGE   \* MERGEFORMAT </w:instrText>
                        </w:r>
                        <w:r>
                          <w:fldChar w:fldCharType="separate"/>
                        </w:r>
                        <w:r>
                          <w:rPr>
                            <w:lang w:val="zh-CN"/>
                          </w:rPr>
                          <w:t>4</w:t>
                        </w:r>
                        <w:r>
                          <w:rPr>
                            <w:lang w:val="zh-CN"/>
                          </w:rPr>
                          <w:fldChar w:fldCharType="end"/>
                        </w:r>
                      </w:p>
                    </w:sdtContent>
                  </w:sdt>
                  <w:p/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right"/>
    </w:pPr>
    <w:r>
      <w:t>DB</w:t>
    </w:r>
    <w:r>
      <w:rPr>
        <w:rFonts w:hint="eastAsia"/>
      </w:rPr>
      <w:t>4405/TXXX</w:t>
    </w:r>
    <w:r>
      <w:t>—20</w:t>
    </w:r>
    <w:r>
      <w:rPr>
        <w:rFonts w:hint="eastAsia"/>
      </w:rPr>
      <w:t>XX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6"/>
      <w:jc w:val="right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2"/>
      <w:jc w:val="right"/>
    </w:pPr>
    <w:r>
      <w:rPr>
        <w:rFonts w:hint="eastAsia"/>
      </w:rPr>
      <w:t>DB4405/T XXXX—XXXX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142"/>
      <w:jc w:val="left"/>
    </w:pPr>
    <w:r>
      <w:t>DB</w:t>
    </w:r>
    <w:r>
      <w:rPr>
        <w:rFonts w:hint="eastAsia"/>
      </w:rPr>
      <w:t>4405/TXXX</w:t>
    </w:r>
    <w:r>
      <w:t>—20</w:t>
    </w:r>
    <w:r>
      <w:rPr>
        <w:rFonts w:hint="eastAsia"/>
      </w:rPr>
      <w:t>XX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952887"/>
    <w:multiLevelType w:val="multilevel"/>
    <w:tmpl w:val="0A952887"/>
    <w:lvl w:ilvl="0" w:tentative="0">
      <w:start w:val="1"/>
      <w:numFmt w:val="decimal"/>
      <w:pStyle w:val="62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">
    <w:nsid w:val="0F805D97"/>
    <w:multiLevelType w:val="multilevel"/>
    <w:tmpl w:val="0F805D97"/>
    <w:lvl w:ilvl="0" w:tentative="0">
      <w:start w:val="1"/>
      <w:numFmt w:val="none"/>
      <w:pStyle w:val="54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2">
    <w:nsid w:val="1FC91163"/>
    <w:multiLevelType w:val="multilevel"/>
    <w:tmpl w:val="1FC91163"/>
    <w:lvl w:ilvl="0" w:tentative="0">
      <w:start w:val="1"/>
      <w:numFmt w:val="decimal"/>
      <w:pStyle w:val="42"/>
      <w:suff w:val="nothing"/>
      <w:lvlText w:val="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  <w:szCs w:val="21"/>
      </w:rPr>
    </w:lvl>
    <w:lvl w:ilvl="1" w:tentative="0">
      <w:start w:val="1"/>
      <w:numFmt w:val="decimal"/>
      <w:pStyle w:val="3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 w:cs="Times New Roman"/>
        <w:b w:val="0"/>
        <w:bCs w:val="0"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1"/>
        <w:szCs w:val="21"/>
        <w:u w:val="none"/>
        <w:vertAlign w:val="baseline"/>
      </w:rPr>
    </w:lvl>
    <w:lvl w:ilvl="2" w:tentative="0">
      <w:start w:val="1"/>
      <w:numFmt w:val="decimal"/>
      <w:pStyle w:val="43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8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52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5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3">
    <w:nsid w:val="24B435DB"/>
    <w:multiLevelType w:val="multilevel"/>
    <w:tmpl w:val="24B435DB"/>
    <w:lvl w:ilvl="0" w:tentative="0">
      <w:start w:val="1"/>
      <w:numFmt w:val="lowerLetter"/>
      <w:pStyle w:val="118"/>
      <w:suff w:val="nothing"/>
      <w:lvlText w:val="%1   "/>
      <w:lvlJc w:val="left"/>
      <w:pPr>
        <w:ind w:left="544" w:hanging="181"/>
      </w:pPr>
      <w:rPr>
        <w:rFonts w:hint="eastAsia" w:ascii="宋体" w:eastAsia="宋体"/>
        <w:b w:val="0"/>
        <w:i w:val="0"/>
        <w:sz w:val="18"/>
        <w:vertAlign w:val="superscript"/>
      </w:rPr>
    </w:lvl>
    <w:lvl w:ilvl="1" w:tentative="0">
      <w:start w:val="1"/>
      <w:numFmt w:val="lowerLetter"/>
      <w:lvlText w:val="%2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57"/>
        </w:tabs>
        <w:ind w:left="363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57"/>
        </w:tabs>
        <w:ind w:left="363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57"/>
        </w:tabs>
        <w:ind w:left="363" w:hanging="363"/>
      </w:pPr>
      <w:rPr>
        <w:rFonts w:hint="eastAsia"/>
      </w:rPr>
    </w:lvl>
  </w:abstractNum>
  <w:abstractNum w:abstractNumId="4">
    <w:nsid w:val="29707437"/>
    <w:multiLevelType w:val="multilevel"/>
    <w:tmpl w:val="29707437"/>
    <w:lvl w:ilvl="0" w:tentative="0">
      <w:start w:val="1"/>
      <w:numFmt w:val="none"/>
      <w:pStyle w:val="61"/>
      <w:suff w:val="nothing"/>
      <w:lvlText w:val="%1注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5">
    <w:nsid w:val="2A8F7113"/>
    <w:multiLevelType w:val="multilevel"/>
    <w:tmpl w:val="2A8F7113"/>
    <w:lvl w:ilvl="0" w:tentative="0">
      <w:start w:val="1"/>
      <w:numFmt w:val="upperLetter"/>
      <w:pStyle w:val="95"/>
      <w:suff w:val="space"/>
      <w:lvlText w:val="%1"/>
      <w:lvlJc w:val="left"/>
      <w:pPr>
        <w:ind w:left="623" w:hanging="425"/>
      </w:pPr>
      <w:rPr>
        <w:rFonts w:hint="eastAsia"/>
      </w:rPr>
    </w:lvl>
    <w:lvl w:ilvl="1" w:tentative="0">
      <w:start w:val="1"/>
      <w:numFmt w:val="decimal"/>
      <w:pStyle w:val="96"/>
      <w:suff w:val="nothing"/>
      <w:lvlText w:val="图%1.%2　"/>
      <w:lvlJc w:val="left"/>
      <w:pPr>
        <w:ind w:left="1190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616"/>
        </w:tabs>
        <w:ind w:left="1616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914"/>
        </w:tabs>
        <w:ind w:left="2182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699"/>
        </w:tabs>
        <w:ind w:left="2749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4484"/>
        </w:tabs>
        <w:ind w:left="3458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5269"/>
        </w:tabs>
        <w:ind w:left="4025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6054"/>
        </w:tabs>
        <w:ind w:left="4592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840"/>
        </w:tabs>
        <w:ind w:left="5300" w:hanging="1700"/>
      </w:pPr>
      <w:rPr>
        <w:rFonts w:hint="eastAsia"/>
      </w:rPr>
    </w:lvl>
  </w:abstractNum>
  <w:abstractNum w:abstractNumId="6">
    <w:nsid w:val="2C5917C3"/>
    <w:multiLevelType w:val="multilevel"/>
    <w:tmpl w:val="2C5917C3"/>
    <w:lvl w:ilvl="0" w:tentative="0">
      <w:start w:val="1"/>
      <w:numFmt w:val="none"/>
      <w:pStyle w:val="45"/>
      <w:suff w:val="nothing"/>
      <w:lvlText w:val="%1——"/>
      <w:lvlJc w:val="left"/>
      <w:pPr>
        <w:ind w:left="833" w:hanging="408"/>
      </w:pPr>
      <w:rPr>
        <w:rFonts w:hint="eastAsia"/>
      </w:rPr>
    </w:lvl>
    <w:lvl w:ilvl="1" w:tentative="0">
      <w:start w:val="1"/>
      <w:numFmt w:val="bullet"/>
      <w:pStyle w:val="46"/>
      <w:lvlText w:val=""/>
      <w:lvlJc w:val="left"/>
      <w:pPr>
        <w:tabs>
          <w:tab w:val="left" w:pos="760"/>
        </w:tabs>
        <w:ind w:left="1264" w:hanging="413"/>
      </w:pPr>
      <w:rPr>
        <w:rFonts w:hint="default" w:ascii="Symbol" w:hAnsi="Symbol"/>
        <w:color w:val="auto"/>
      </w:rPr>
    </w:lvl>
    <w:lvl w:ilvl="2" w:tentative="0">
      <w:start w:val="1"/>
      <w:numFmt w:val="bullet"/>
      <w:pStyle w:val="57"/>
      <w:lvlText w:val=""/>
      <w:lvlJc w:val="left"/>
      <w:pPr>
        <w:tabs>
          <w:tab w:val="left" w:pos="1678"/>
        </w:tabs>
        <w:ind w:left="1678" w:hanging="414"/>
      </w:pPr>
      <w:rPr>
        <w:rFonts w:hint="default" w:ascii="Symbol" w:hAnsi="Symbol"/>
        <w:color w:val="auto"/>
      </w:rPr>
    </w:lvl>
    <w:lvl w:ilvl="3" w:tentative="0">
      <w:start w:val="1"/>
      <w:numFmt w:val="decimal"/>
      <w:lvlText w:val="%4."/>
      <w:lvlJc w:val="left"/>
      <w:pPr>
        <w:tabs>
          <w:tab w:val="left" w:pos="2071"/>
        </w:tabs>
        <w:ind w:left="1884" w:hanging="528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383"/>
        </w:tabs>
        <w:ind w:left="2196" w:hanging="528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695"/>
        </w:tabs>
        <w:ind w:left="2508" w:hanging="528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007"/>
        </w:tabs>
        <w:ind w:left="2820" w:hanging="528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19"/>
        </w:tabs>
        <w:ind w:left="3132" w:hanging="528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1"/>
        </w:tabs>
        <w:ind w:left="3444" w:hanging="528"/>
      </w:pPr>
      <w:rPr>
        <w:rFonts w:hint="eastAsia"/>
      </w:rPr>
    </w:lvl>
  </w:abstractNum>
  <w:abstractNum w:abstractNumId="7">
    <w:nsid w:val="3AF349A4"/>
    <w:multiLevelType w:val="multilevel"/>
    <w:tmpl w:val="3AF349A4"/>
    <w:lvl w:ilvl="0" w:tentative="0">
      <w:start w:val="1"/>
      <w:numFmt w:val="lowerLetter"/>
      <w:pStyle w:val="56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1" w:tentative="0">
      <w:start w:val="1"/>
      <w:numFmt w:val="decimal"/>
      <w:pStyle w:val="51"/>
      <w:lvlText w:val="%2)"/>
      <w:lvlJc w:val="left"/>
      <w:pPr>
        <w:tabs>
          <w:tab w:val="left" w:pos="1259"/>
        </w:tabs>
        <w:ind w:left="1259" w:hanging="420"/>
      </w:pPr>
      <w:rPr>
        <w:rFonts w:hint="eastAsia" w:ascii="宋体" w:hAnsi="宋体" w:eastAsia="宋体"/>
        <w:b w:val="0"/>
        <w:i w:val="0"/>
        <w:sz w:val="20"/>
      </w:rPr>
    </w:lvl>
    <w:lvl w:ilvl="2" w:tentative="0">
      <w:start w:val="1"/>
      <w:numFmt w:val="decimal"/>
      <w:pStyle w:val="58"/>
      <w:lvlText w:val="(%3)"/>
      <w:lvlJc w:val="left"/>
      <w:pPr>
        <w:tabs>
          <w:tab w:val="left" w:pos="0"/>
        </w:tabs>
        <w:ind w:left="1678" w:hanging="419"/>
      </w:pPr>
      <w:rPr>
        <w:rFonts w:hint="eastAsia" w:ascii="宋体" w:hAnsi="宋体" w:eastAsia="宋体"/>
        <w:b w:val="0"/>
        <w:i w:val="0"/>
        <w:sz w:val="20"/>
        <w:szCs w:val="21"/>
      </w:rPr>
    </w:lvl>
    <w:lvl w:ilvl="3" w:tentative="0">
      <w:start w:val="1"/>
      <w:numFmt w:val="decimal"/>
      <w:lvlText w:val="%4."/>
      <w:lvlJc w:val="left"/>
      <w:pPr>
        <w:tabs>
          <w:tab w:val="left" w:pos="2098"/>
        </w:tabs>
        <w:ind w:left="2098" w:hanging="420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517"/>
        </w:tabs>
        <w:ind w:left="2517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942"/>
        </w:tabs>
        <w:ind w:left="2937" w:hanging="42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362"/>
        </w:tabs>
        <w:ind w:left="3356" w:hanging="41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781"/>
        </w:tabs>
        <w:ind w:left="3776" w:hanging="41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4201"/>
        </w:tabs>
        <w:ind w:left="4201" w:hanging="420"/>
      </w:pPr>
      <w:rPr>
        <w:rFonts w:hint="eastAsia"/>
      </w:rPr>
    </w:lvl>
  </w:abstractNum>
  <w:abstractNum w:abstractNumId="8">
    <w:nsid w:val="3D733618"/>
    <w:multiLevelType w:val="multilevel"/>
    <w:tmpl w:val="3D733618"/>
    <w:lvl w:ilvl="0" w:tentative="0">
      <w:start w:val="1"/>
      <w:numFmt w:val="decimal"/>
      <w:pStyle w:val="22"/>
      <w:lvlText w:val="%1)"/>
      <w:lvlJc w:val="left"/>
      <w:pPr>
        <w:tabs>
          <w:tab w:val="left" w:pos="0"/>
        </w:tabs>
        <w:ind w:left="720" w:hanging="357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504"/>
        </w:tabs>
        <w:ind w:left="544" w:hanging="544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532"/>
        </w:tabs>
        <w:ind w:left="544" w:hanging="544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560"/>
        </w:tabs>
        <w:ind w:left="544" w:hanging="544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588"/>
        </w:tabs>
        <w:ind w:left="544" w:hanging="544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616"/>
        </w:tabs>
        <w:ind w:left="544" w:hanging="544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644"/>
        </w:tabs>
        <w:ind w:left="544" w:hanging="544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672"/>
        </w:tabs>
        <w:ind w:left="544" w:hanging="544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700"/>
        </w:tabs>
        <w:ind w:left="544" w:hanging="544"/>
      </w:pPr>
      <w:rPr>
        <w:rFonts w:hint="eastAsia"/>
      </w:rPr>
    </w:lvl>
  </w:abstractNum>
  <w:abstractNum w:abstractNumId="9">
    <w:nsid w:val="520F62E9"/>
    <w:multiLevelType w:val="multilevel"/>
    <w:tmpl w:val="520F62E9"/>
    <w:lvl w:ilvl="0" w:tentative="0">
      <w:start w:val="1"/>
      <w:numFmt w:val="decimal"/>
      <w:pStyle w:val="125"/>
      <w:suff w:val="nothing"/>
      <w:lvlText w:val="图%1　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0">
    <w:nsid w:val="5E63562F"/>
    <w:multiLevelType w:val="multilevel"/>
    <w:tmpl w:val="5E63562F"/>
    <w:lvl w:ilvl="0" w:tentative="0">
      <w:start w:val="1"/>
      <w:numFmt w:val="decimal"/>
      <w:pStyle w:val="55"/>
      <w:suff w:val="nothing"/>
      <w:lvlText w:val="注%1："/>
      <w:lvlJc w:val="left"/>
      <w:pPr>
        <w:ind w:left="0" w:firstLine="363"/>
      </w:pPr>
      <w:rPr>
        <w:rFonts w:hint="eastAsia" w:ascii="黑体" w:hAnsi="Times New Roman" w:eastAsia="黑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1140"/>
        </w:tabs>
        <w:ind w:left="726" w:hanging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1140"/>
        </w:tabs>
        <w:ind w:left="726" w:hanging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1140"/>
        </w:tabs>
        <w:ind w:left="726" w:hanging="363"/>
      </w:pPr>
      <w:rPr>
        <w:rFonts w:hint="eastAsia"/>
      </w:rPr>
    </w:lvl>
  </w:abstractNum>
  <w:abstractNum w:abstractNumId="11">
    <w:nsid w:val="60B55DC2"/>
    <w:multiLevelType w:val="multilevel"/>
    <w:tmpl w:val="60B55DC2"/>
    <w:lvl w:ilvl="0" w:tentative="0">
      <w:start w:val="1"/>
      <w:numFmt w:val="upperLetter"/>
      <w:pStyle w:val="83"/>
      <w:lvlText w:val="%1"/>
      <w:lvlJc w:val="left"/>
      <w:pPr>
        <w:tabs>
          <w:tab w:val="left" w:pos="0"/>
        </w:tabs>
        <w:ind w:left="0" w:hanging="425"/>
      </w:pPr>
      <w:rPr>
        <w:rFonts w:hint="eastAsia"/>
      </w:rPr>
    </w:lvl>
    <w:lvl w:ilvl="1" w:tentative="0">
      <w:start w:val="1"/>
      <w:numFmt w:val="decimal"/>
      <w:pStyle w:val="84"/>
      <w:suff w:val="nothing"/>
      <w:lvlText w:val="表%1.%2　"/>
      <w:lvlJc w:val="left"/>
      <w:pPr>
        <w:ind w:left="567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993"/>
        </w:tabs>
        <w:ind w:left="993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2291"/>
        </w:tabs>
        <w:ind w:left="1559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3076"/>
        </w:tabs>
        <w:ind w:left="2126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861"/>
        </w:tabs>
        <w:ind w:left="2835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4646"/>
        </w:tabs>
        <w:ind w:left="3402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543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6217"/>
        </w:tabs>
        <w:ind w:left="4677" w:hanging="1700"/>
      </w:pPr>
      <w:rPr>
        <w:rFonts w:hint="eastAsia"/>
      </w:rPr>
    </w:lvl>
  </w:abstractNum>
  <w:abstractNum w:abstractNumId="12">
    <w:nsid w:val="63404DBE"/>
    <w:multiLevelType w:val="multilevel"/>
    <w:tmpl w:val="63404DBE"/>
    <w:lvl w:ilvl="0" w:tentative="0">
      <w:start w:val="1"/>
      <w:numFmt w:val="none"/>
      <w:pStyle w:val="49"/>
      <w:suff w:val="nothing"/>
      <w:lvlText w:val="%1示例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3">
    <w:nsid w:val="63AF7EBF"/>
    <w:multiLevelType w:val="multilevel"/>
    <w:tmpl w:val="63AF7EBF"/>
    <w:lvl w:ilvl="0" w:tentative="0">
      <w:start w:val="1"/>
      <w:numFmt w:val="decimal"/>
      <w:pStyle w:val="123"/>
      <w:suff w:val="nothing"/>
      <w:lvlText w:val="表%1　"/>
      <w:lvlJc w:val="left"/>
      <w:pPr>
        <w:ind w:left="0" w:firstLine="0"/>
      </w:pPr>
      <w:rPr>
        <w:rFonts w:hint="eastAsia"/>
      </w:rPr>
    </w:lvl>
    <w:lvl w:ilvl="1" w:tentative="0">
      <w:start w:val="1"/>
      <w:numFmt w:val="decimal"/>
      <w:lvlText w:val="%1.%2"/>
      <w:lvlJc w:val="left"/>
      <w:pPr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ind w:left="5102" w:hanging="1700"/>
      </w:pPr>
      <w:rPr>
        <w:rFonts w:hint="eastAsia"/>
      </w:rPr>
    </w:lvl>
  </w:abstractNum>
  <w:abstractNum w:abstractNumId="14">
    <w:nsid w:val="657D3FBC"/>
    <w:multiLevelType w:val="multilevel"/>
    <w:tmpl w:val="657D3FBC"/>
    <w:lvl w:ilvl="0" w:tentative="0">
      <w:start w:val="1"/>
      <w:numFmt w:val="upperLetter"/>
      <w:pStyle w:val="81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sz w:val="21"/>
      </w:rPr>
    </w:lvl>
    <w:lvl w:ilvl="1" w:tentative="0">
      <w:start w:val="1"/>
      <w:numFmt w:val="decimal"/>
      <w:pStyle w:val="99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napToGrid/>
        <w:spacing w:val="0"/>
        <w:w w:val="100"/>
        <w:kern w:val="21"/>
        <w:sz w:val="21"/>
      </w:rPr>
    </w:lvl>
    <w:lvl w:ilvl="2" w:tentative="0">
      <w:start w:val="1"/>
      <w:numFmt w:val="decimal"/>
      <w:pStyle w:val="100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85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7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5">
    <w:nsid w:val="6AB870ED"/>
    <w:multiLevelType w:val="multilevel"/>
    <w:tmpl w:val="6AB870ED"/>
    <w:lvl w:ilvl="0" w:tentative="0">
      <w:start w:val="1"/>
      <w:numFmt w:val="decimal"/>
      <w:pStyle w:val="59"/>
      <w:suff w:val="nothing"/>
      <w:lvlText w:val="示例%1："/>
      <w:lvlJc w:val="left"/>
      <w:pPr>
        <w:ind w:left="0" w:firstLine="363"/>
      </w:pPr>
      <w:rPr>
        <w:rFonts w:hint="eastAsia" w:ascii="黑体" w:eastAsia="黑体"/>
        <w:b w:val="0"/>
        <w:i w:val="0"/>
        <w:sz w:val="18"/>
        <w:szCs w:val="18"/>
      </w:rPr>
    </w:lvl>
    <w:lvl w:ilvl="1" w:tentative="0">
      <w:start w:val="1"/>
      <w:numFmt w:val="lowerLetter"/>
      <w:lvlText w:val="%2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2" w:tentative="0">
      <w:start w:val="1"/>
      <w:numFmt w:val="lowerRoman"/>
      <w:lvlText w:val="%3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363"/>
        </w:tabs>
        <w:ind w:left="0" w:firstLine="363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63"/>
        </w:tabs>
        <w:ind w:left="0" w:firstLine="363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63"/>
        </w:tabs>
        <w:ind w:left="0" w:firstLine="363"/>
      </w:pPr>
      <w:rPr>
        <w:rFonts w:hint="eastAsia"/>
      </w:rPr>
    </w:lvl>
  </w:abstractNum>
  <w:abstractNum w:abstractNumId="16">
    <w:nsid w:val="6D6C07CD"/>
    <w:multiLevelType w:val="multilevel"/>
    <w:tmpl w:val="6D6C07CD"/>
    <w:lvl w:ilvl="0" w:tentative="0">
      <w:start w:val="1"/>
      <w:numFmt w:val="lowerLetter"/>
      <w:pStyle w:val="102"/>
      <w:lvlText w:val="%1)"/>
      <w:lvlJc w:val="left"/>
      <w:pPr>
        <w:tabs>
          <w:tab w:val="left" w:pos="839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1" w:tentative="0">
      <w:start w:val="1"/>
      <w:numFmt w:val="decimal"/>
      <w:pStyle w:val="92"/>
      <w:lvlText w:val="%2)"/>
      <w:lvlJc w:val="left"/>
      <w:pPr>
        <w:tabs>
          <w:tab w:val="left" w:pos="840"/>
        </w:tabs>
        <w:ind w:left="839" w:hanging="419"/>
      </w:pPr>
      <w:rPr>
        <w:rFonts w:hint="eastAsia" w:ascii="宋体" w:eastAsia="宋体"/>
        <w:b w:val="0"/>
        <w:i w:val="0"/>
        <w:sz w:val="21"/>
      </w:r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59" w:hanging="419"/>
      </w:pPr>
      <w:rPr>
        <w:rFonts w:hint="eastAsia"/>
      </w:r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79" w:hanging="419"/>
      </w:pPr>
      <w:rPr>
        <w:rFonts w:hint="eastAsia"/>
      </w:r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099" w:hanging="419"/>
      </w:pPr>
      <w:rPr>
        <w:rFonts w:hint="eastAsia"/>
      </w:r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19" w:hanging="419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39" w:hanging="419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59" w:hanging="419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79" w:hanging="419"/>
      </w:pPr>
      <w:rPr>
        <w:rFonts w:hint="eastAsia"/>
      </w:rPr>
    </w:lvl>
  </w:abstractNum>
  <w:num w:numId="1">
    <w:abstractNumId w:val="8"/>
  </w:num>
  <w:num w:numId="2">
    <w:abstractNumId w:val="2"/>
  </w:num>
  <w:num w:numId="3">
    <w:abstractNumId w:val="6"/>
  </w:num>
  <w:num w:numId="4">
    <w:abstractNumId w:val="12"/>
  </w:num>
  <w:num w:numId="5">
    <w:abstractNumId w:val="7"/>
  </w:num>
  <w:num w:numId="6">
    <w:abstractNumId w:val="1"/>
  </w:num>
  <w:num w:numId="7">
    <w:abstractNumId w:val="10"/>
  </w:num>
  <w:num w:numId="8">
    <w:abstractNumId w:val="15"/>
  </w:num>
  <w:num w:numId="9">
    <w:abstractNumId w:val="4"/>
  </w:num>
  <w:num w:numId="10">
    <w:abstractNumId w:val="0"/>
  </w:num>
  <w:num w:numId="11">
    <w:abstractNumId w:val="14"/>
  </w:num>
  <w:num w:numId="12">
    <w:abstractNumId w:val="11"/>
  </w:num>
  <w:num w:numId="13">
    <w:abstractNumId w:val="16"/>
  </w:num>
  <w:num w:numId="14">
    <w:abstractNumId w:val="5"/>
  </w:num>
  <w:num w:numId="15">
    <w:abstractNumId w:val="3"/>
  </w:num>
  <w:num w:numId="16">
    <w:abstractNumId w:val="13"/>
  </w:num>
  <w:num w:numId="17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 w:val="1"/>
  <w:bordersDoNotSurroundHeader w:val="0"/>
  <w:bordersDoNotSurroundFooter w:val="0"/>
  <w:documentProtection w:edit="forms" w:enforcement="0"/>
  <w:defaultTabStop w:val="420"/>
  <w:evenAndOddHeaders w:val="1"/>
  <w:drawingGridHorizontalSpacing w:val="105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0OTBjYjJiNGFhNWJhODJhYmJjMzI1ODM2YjY5N2EifQ=="/>
  </w:docVars>
  <w:rsids>
    <w:rsidRoot w:val="00035925"/>
    <w:rsid w:val="00000244"/>
    <w:rsid w:val="00000BB3"/>
    <w:rsid w:val="0000185F"/>
    <w:rsid w:val="0000380B"/>
    <w:rsid w:val="00004B91"/>
    <w:rsid w:val="00004E32"/>
    <w:rsid w:val="0000586F"/>
    <w:rsid w:val="00010F93"/>
    <w:rsid w:val="00013D86"/>
    <w:rsid w:val="00013E02"/>
    <w:rsid w:val="00020079"/>
    <w:rsid w:val="0002143C"/>
    <w:rsid w:val="00025A65"/>
    <w:rsid w:val="00026C31"/>
    <w:rsid w:val="00027280"/>
    <w:rsid w:val="000320A7"/>
    <w:rsid w:val="000325EA"/>
    <w:rsid w:val="00035925"/>
    <w:rsid w:val="00036C2C"/>
    <w:rsid w:val="000400E8"/>
    <w:rsid w:val="00040C30"/>
    <w:rsid w:val="000434C5"/>
    <w:rsid w:val="00044115"/>
    <w:rsid w:val="00045A7C"/>
    <w:rsid w:val="00050449"/>
    <w:rsid w:val="00051449"/>
    <w:rsid w:val="00055371"/>
    <w:rsid w:val="00056A24"/>
    <w:rsid w:val="00057CE5"/>
    <w:rsid w:val="000607A3"/>
    <w:rsid w:val="00060BC0"/>
    <w:rsid w:val="000657F7"/>
    <w:rsid w:val="00067CDF"/>
    <w:rsid w:val="00074FBE"/>
    <w:rsid w:val="0007762A"/>
    <w:rsid w:val="00081F6E"/>
    <w:rsid w:val="00083A09"/>
    <w:rsid w:val="00086B56"/>
    <w:rsid w:val="0009005E"/>
    <w:rsid w:val="000918A9"/>
    <w:rsid w:val="00092001"/>
    <w:rsid w:val="00092618"/>
    <w:rsid w:val="00092857"/>
    <w:rsid w:val="00092BD8"/>
    <w:rsid w:val="0009320D"/>
    <w:rsid w:val="000964C7"/>
    <w:rsid w:val="000979D9"/>
    <w:rsid w:val="000A20A9"/>
    <w:rsid w:val="000A3BF4"/>
    <w:rsid w:val="000A48B1"/>
    <w:rsid w:val="000A65B8"/>
    <w:rsid w:val="000A6CA1"/>
    <w:rsid w:val="000B2F0E"/>
    <w:rsid w:val="000B3143"/>
    <w:rsid w:val="000B405D"/>
    <w:rsid w:val="000C2BE6"/>
    <w:rsid w:val="000C6B05"/>
    <w:rsid w:val="000C6DD6"/>
    <w:rsid w:val="000C73D4"/>
    <w:rsid w:val="000D3D4C"/>
    <w:rsid w:val="000D4F51"/>
    <w:rsid w:val="000D718B"/>
    <w:rsid w:val="000E060D"/>
    <w:rsid w:val="000E0C46"/>
    <w:rsid w:val="000E15EE"/>
    <w:rsid w:val="000E5F22"/>
    <w:rsid w:val="000F030C"/>
    <w:rsid w:val="000F129C"/>
    <w:rsid w:val="000F174F"/>
    <w:rsid w:val="00104E29"/>
    <w:rsid w:val="001056DE"/>
    <w:rsid w:val="001069C1"/>
    <w:rsid w:val="001124C0"/>
    <w:rsid w:val="00117A25"/>
    <w:rsid w:val="00121293"/>
    <w:rsid w:val="00123F54"/>
    <w:rsid w:val="0013175F"/>
    <w:rsid w:val="0013364D"/>
    <w:rsid w:val="001343BB"/>
    <w:rsid w:val="00142D6E"/>
    <w:rsid w:val="001436CC"/>
    <w:rsid w:val="00145797"/>
    <w:rsid w:val="001512B4"/>
    <w:rsid w:val="001620A5"/>
    <w:rsid w:val="00162202"/>
    <w:rsid w:val="00164E53"/>
    <w:rsid w:val="0016699D"/>
    <w:rsid w:val="001670D9"/>
    <w:rsid w:val="00170960"/>
    <w:rsid w:val="00175159"/>
    <w:rsid w:val="00175AD7"/>
    <w:rsid w:val="00176208"/>
    <w:rsid w:val="0017780C"/>
    <w:rsid w:val="0017788B"/>
    <w:rsid w:val="001813B2"/>
    <w:rsid w:val="0018211B"/>
    <w:rsid w:val="00183FE1"/>
    <w:rsid w:val="001840D3"/>
    <w:rsid w:val="00184782"/>
    <w:rsid w:val="00187A8A"/>
    <w:rsid w:val="001900F8"/>
    <w:rsid w:val="00191258"/>
    <w:rsid w:val="00192680"/>
    <w:rsid w:val="00193037"/>
    <w:rsid w:val="00193375"/>
    <w:rsid w:val="00193A2C"/>
    <w:rsid w:val="001A288E"/>
    <w:rsid w:val="001A6A28"/>
    <w:rsid w:val="001B6DC2"/>
    <w:rsid w:val="001B754B"/>
    <w:rsid w:val="001C149C"/>
    <w:rsid w:val="001C21AC"/>
    <w:rsid w:val="001C3689"/>
    <w:rsid w:val="001C47BA"/>
    <w:rsid w:val="001C59EA"/>
    <w:rsid w:val="001C635D"/>
    <w:rsid w:val="001D406C"/>
    <w:rsid w:val="001D41EE"/>
    <w:rsid w:val="001D4BEB"/>
    <w:rsid w:val="001D71E6"/>
    <w:rsid w:val="001D794F"/>
    <w:rsid w:val="001E0380"/>
    <w:rsid w:val="001E0B1B"/>
    <w:rsid w:val="001E13B1"/>
    <w:rsid w:val="001E2153"/>
    <w:rsid w:val="001E2CA3"/>
    <w:rsid w:val="001F3A19"/>
    <w:rsid w:val="002009E4"/>
    <w:rsid w:val="00201053"/>
    <w:rsid w:val="0020251B"/>
    <w:rsid w:val="00204DF1"/>
    <w:rsid w:val="00206CC0"/>
    <w:rsid w:val="002073D3"/>
    <w:rsid w:val="0021347F"/>
    <w:rsid w:val="00214763"/>
    <w:rsid w:val="00215D48"/>
    <w:rsid w:val="0021624B"/>
    <w:rsid w:val="0022185E"/>
    <w:rsid w:val="00227DD7"/>
    <w:rsid w:val="00227FED"/>
    <w:rsid w:val="0023030A"/>
    <w:rsid w:val="00230F08"/>
    <w:rsid w:val="00234467"/>
    <w:rsid w:val="00235BE6"/>
    <w:rsid w:val="00237D8D"/>
    <w:rsid w:val="00241DA2"/>
    <w:rsid w:val="00247FEE"/>
    <w:rsid w:val="00250E7D"/>
    <w:rsid w:val="002523DB"/>
    <w:rsid w:val="002527DD"/>
    <w:rsid w:val="00252DAA"/>
    <w:rsid w:val="002565D5"/>
    <w:rsid w:val="00260972"/>
    <w:rsid w:val="002622C0"/>
    <w:rsid w:val="0027348E"/>
    <w:rsid w:val="002766F3"/>
    <w:rsid w:val="002778AE"/>
    <w:rsid w:val="0028269A"/>
    <w:rsid w:val="00283590"/>
    <w:rsid w:val="00286973"/>
    <w:rsid w:val="002872D6"/>
    <w:rsid w:val="00287674"/>
    <w:rsid w:val="002938A4"/>
    <w:rsid w:val="00294E70"/>
    <w:rsid w:val="00294F98"/>
    <w:rsid w:val="002954B8"/>
    <w:rsid w:val="002967B2"/>
    <w:rsid w:val="002A0424"/>
    <w:rsid w:val="002A0D70"/>
    <w:rsid w:val="002A1924"/>
    <w:rsid w:val="002A7420"/>
    <w:rsid w:val="002A7A7E"/>
    <w:rsid w:val="002B0F12"/>
    <w:rsid w:val="002B1308"/>
    <w:rsid w:val="002B31C8"/>
    <w:rsid w:val="002B4554"/>
    <w:rsid w:val="002B707C"/>
    <w:rsid w:val="002C0B8C"/>
    <w:rsid w:val="002C276D"/>
    <w:rsid w:val="002C72D8"/>
    <w:rsid w:val="002D11FA"/>
    <w:rsid w:val="002D17BC"/>
    <w:rsid w:val="002D19A4"/>
    <w:rsid w:val="002D6352"/>
    <w:rsid w:val="002D7DA5"/>
    <w:rsid w:val="002E0DDF"/>
    <w:rsid w:val="002E23A9"/>
    <w:rsid w:val="002E2906"/>
    <w:rsid w:val="002E5635"/>
    <w:rsid w:val="002E64C3"/>
    <w:rsid w:val="002E6A2C"/>
    <w:rsid w:val="002E77A6"/>
    <w:rsid w:val="002F035E"/>
    <w:rsid w:val="002F0FE8"/>
    <w:rsid w:val="002F1D8C"/>
    <w:rsid w:val="002F21DA"/>
    <w:rsid w:val="002F34B8"/>
    <w:rsid w:val="00301F39"/>
    <w:rsid w:val="00303D27"/>
    <w:rsid w:val="00305BEE"/>
    <w:rsid w:val="00313962"/>
    <w:rsid w:val="00321AF0"/>
    <w:rsid w:val="003234E0"/>
    <w:rsid w:val="00325926"/>
    <w:rsid w:val="00327A8A"/>
    <w:rsid w:val="003339A3"/>
    <w:rsid w:val="00336033"/>
    <w:rsid w:val="00336610"/>
    <w:rsid w:val="00341F5C"/>
    <w:rsid w:val="00343D23"/>
    <w:rsid w:val="00343F73"/>
    <w:rsid w:val="00345060"/>
    <w:rsid w:val="003451FB"/>
    <w:rsid w:val="00345367"/>
    <w:rsid w:val="00352629"/>
    <w:rsid w:val="0035278E"/>
    <w:rsid w:val="0035323B"/>
    <w:rsid w:val="00353D19"/>
    <w:rsid w:val="0035785A"/>
    <w:rsid w:val="003609D2"/>
    <w:rsid w:val="00363F22"/>
    <w:rsid w:val="00364940"/>
    <w:rsid w:val="003746B1"/>
    <w:rsid w:val="00375564"/>
    <w:rsid w:val="00376489"/>
    <w:rsid w:val="00383191"/>
    <w:rsid w:val="00386DED"/>
    <w:rsid w:val="003912E7"/>
    <w:rsid w:val="00393947"/>
    <w:rsid w:val="00395141"/>
    <w:rsid w:val="003A2275"/>
    <w:rsid w:val="003A6A4F"/>
    <w:rsid w:val="003A7088"/>
    <w:rsid w:val="003B00DF"/>
    <w:rsid w:val="003B1275"/>
    <w:rsid w:val="003B1778"/>
    <w:rsid w:val="003B32B9"/>
    <w:rsid w:val="003C11CB"/>
    <w:rsid w:val="003C3017"/>
    <w:rsid w:val="003C4C68"/>
    <w:rsid w:val="003C6A77"/>
    <w:rsid w:val="003C75F3"/>
    <w:rsid w:val="003C78A3"/>
    <w:rsid w:val="003D36AB"/>
    <w:rsid w:val="003D36F8"/>
    <w:rsid w:val="003D3CBB"/>
    <w:rsid w:val="003E1867"/>
    <w:rsid w:val="003E5729"/>
    <w:rsid w:val="003E5DE8"/>
    <w:rsid w:val="003E683C"/>
    <w:rsid w:val="003E724E"/>
    <w:rsid w:val="003F1D40"/>
    <w:rsid w:val="003F22BB"/>
    <w:rsid w:val="003F2A5B"/>
    <w:rsid w:val="003F3EF3"/>
    <w:rsid w:val="003F4EE0"/>
    <w:rsid w:val="003F5559"/>
    <w:rsid w:val="003F69A4"/>
    <w:rsid w:val="00400473"/>
    <w:rsid w:val="00402153"/>
    <w:rsid w:val="00402C55"/>
    <w:rsid w:val="00402CED"/>
    <w:rsid w:val="00402E26"/>
    <w:rsid w:val="00402FC1"/>
    <w:rsid w:val="004120A6"/>
    <w:rsid w:val="004200D9"/>
    <w:rsid w:val="00425082"/>
    <w:rsid w:val="00431DEB"/>
    <w:rsid w:val="00434B3E"/>
    <w:rsid w:val="0044259D"/>
    <w:rsid w:val="004439D9"/>
    <w:rsid w:val="00446B29"/>
    <w:rsid w:val="004524BE"/>
    <w:rsid w:val="00453F9A"/>
    <w:rsid w:val="00454CC3"/>
    <w:rsid w:val="004633E7"/>
    <w:rsid w:val="00464903"/>
    <w:rsid w:val="00471E91"/>
    <w:rsid w:val="00472AB0"/>
    <w:rsid w:val="00474079"/>
    <w:rsid w:val="00474675"/>
    <w:rsid w:val="0047470C"/>
    <w:rsid w:val="00474973"/>
    <w:rsid w:val="0047549C"/>
    <w:rsid w:val="00477D42"/>
    <w:rsid w:val="00484C88"/>
    <w:rsid w:val="00486EC6"/>
    <w:rsid w:val="00491DA5"/>
    <w:rsid w:val="0049474C"/>
    <w:rsid w:val="00497234"/>
    <w:rsid w:val="004A203E"/>
    <w:rsid w:val="004A35F9"/>
    <w:rsid w:val="004A4662"/>
    <w:rsid w:val="004A7E02"/>
    <w:rsid w:val="004B157A"/>
    <w:rsid w:val="004B1697"/>
    <w:rsid w:val="004B24C1"/>
    <w:rsid w:val="004B2A6B"/>
    <w:rsid w:val="004B3092"/>
    <w:rsid w:val="004B49B1"/>
    <w:rsid w:val="004B557C"/>
    <w:rsid w:val="004C292F"/>
    <w:rsid w:val="004C657F"/>
    <w:rsid w:val="004D306F"/>
    <w:rsid w:val="004D4B02"/>
    <w:rsid w:val="004D4F76"/>
    <w:rsid w:val="004E3265"/>
    <w:rsid w:val="004E4B13"/>
    <w:rsid w:val="004E4B8C"/>
    <w:rsid w:val="004E5A47"/>
    <w:rsid w:val="004F6674"/>
    <w:rsid w:val="004F72BE"/>
    <w:rsid w:val="005036E2"/>
    <w:rsid w:val="00510280"/>
    <w:rsid w:val="00513D73"/>
    <w:rsid w:val="005148B3"/>
    <w:rsid w:val="00514A43"/>
    <w:rsid w:val="00515E9C"/>
    <w:rsid w:val="005174E5"/>
    <w:rsid w:val="00520898"/>
    <w:rsid w:val="00522393"/>
    <w:rsid w:val="00522620"/>
    <w:rsid w:val="00525656"/>
    <w:rsid w:val="00525BF3"/>
    <w:rsid w:val="00534C02"/>
    <w:rsid w:val="0054044C"/>
    <w:rsid w:val="0054264B"/>
    <w:rsid w:val="00543529"/>
    <w:rsid w:val="00543786"/>
    <w:rsid w:val="00545A49"/>
    <w:rsid w:val="005463CC"/>
    <w:rsid w:val="00546D0D"/>
    <w:rsid w:val="00551527"/>
    <w:rsid w:val="0055153A"/>
    <w:rsid w:val="005533D7"/>
    <w:rsid w:val="00554B63"/>
    <w:rsid w:val="00562CF6"/>
    <w:rsid w:val="0056544B"/>
    <w:rsid w:val="00567177"/>
    <w:rsid w:val="005703DE"/>
    <w:rsid w:val="005710BC"/>
    <w:rsid w:val="0057334E"/>
    <w:rsid w:val="005755F1"/>
    <w:rsid w:val="00582BBE"/>
    <w:rsid w:val="00583CD3"/>
    <w:rsid w:val="0058464E"/>
    <w:rsid w:val="0058650E"/>
    <w:rsid w:val="00597361"/>
    <w:rsid w:val="005A01CB"/>
    <w:rsid w:val="005A19A9"/>
    <w:rsid w:val="005A58FF"/>
    <w:rsid w:val="005A5EAF"/>
    <w:rsid w:val="005A6491"/>
    <w:rsid w:val="005A64C0"/>
    <w:rsid w:val="005B1985"/>
    <w:rsid w:val="005B3C11"/>
    <w:rsid w:val="005C1C28"/>
    <w:rsid w:val="005C323F"/>
    <w:rsid w:val="005C43D0"/>
    <w:rsid w:val="005C6833"/>
    <w:rsid w:val="005C6DB5"/>
    <w:rsid w:val="005D3842"/>
    <w:rsid w:val="005D5525"/>
    <w:rsid w:val="005E1527"/>
    <w:rsid w:val="005E19E7"/>
    <w:rsid w:val="005E1D1E"/>
    <w:rsid w:val="005E2392"/>
    <w:rsid w:val="005F6557"/>
    <w:rsid w:val="00601622"/>
    <w:rsid w:val="00602CDC"/>
    <w:rsid w:val="0061037E"/>
    <w:rsid w:val="00613FAA"/>
    <w:rsid w:val="006151A8"/>
    <w:rsid w:val="00616C36"/>
    <w:rsid w:val="00617106"/>
    <w:rsid w:val="0061716C"/>
    <w:rsid w:val="006171AF"/>
    <w:rsid w:val="00617868"/>
    <w:rsid w:val="006214B4"/>
    <w:rsid w:val="006243A1"/>
    <w:rsid w:val="00625FCD"/>
    <w:rsid w:val="00626005"/>
    <w:rsid w:val="00632E56"/>
    <w:rsid w:val="00635CBA"/>
    <w:rsid w:val="00636EFC"/>
    <w:rsid w:val="0064338B"/>
    <w:rsid w:val="006433A4"/>
    <w:rsid w:val="00646542"/>
    <w:rsid w:val="006504F4"/>
    <w:rsid w:val="0065366F"/>
    <w:rsid w:val="00654BC9"/>
    <w:rsid w:val="00654C62"/>
    <w:rsid w:val="006552FD"/>
    <w:rsid w:val="00656F0B"/>
    <w:rsid w:val="00663733"/>
    <w:rsid w:val="00663AF3"/>
    <w:rsid w:val="00666B6C"/>
    <w:rsid w:val="00666ECC"/>
    <w:rsid w:val="0067185C"/>
    <w:rsid w:val="0067644B"/>
    <w:rsid w:val="00677B54"/>
    <w:rsid w:val="00682682"/>
    <w:rsid w:val="00682702"/>
    <w:rsid w:val="00692368"/>
    <w:rsid w:val="0069269F"/>
    <w:rsid w:val="00695192"/>
    <w:rsid w:val="006A2D2D"/>
    <w:rsid w:val="006A2EBC"/>
    <w:rsid w:val="006A5EA0"/>
    <w:rsid w:val="006A783B"/>
    <w:rsid w:val="006A7B33"/>
    <w:rsid w:val="006B4E13"/>
    <w:rsid w:val="006B75DD"/>
    <w:rsid w:val="006C047C"/>
    <w:rsid w:val="006C2C54"/>
    <w:rsid w:val="006C3D8B"/>
    <w:rsid w:val="006C67E0"/>
    <w:rsid w:val="006C7ABA"/>
    <w:rsid w:val="006D0A13"/>
    <w:rsid w:val="006D0D60"/>
    <w:rsid w:val="006D1122"/>
    <w:rsid w:val="006D317E"/>
    <w:rsid w:val="006D3B1E"/>
    <w:rsid w:val="006D3C00"/>
    <w:rsid w:val="006E06AD"/>
    <w:rsid w:val="006E1D68"/>
    <w:rsid w:val="006E3675"/>
    <w:rsid w:val="006E4365"/>
    <w:rsid w:val="006E4A7F"/>
    <w:rsid w:val="006F0967"/>
    <w:rsid w:val="006F0A21"/>
    <w:rsid w:val="006F2274"/>
    <w:rsid w:val="006F3F16"/>
    <w:rsid w:val="006F64A0"/>
    <w:rsid w:val="0070038F"/>
    <w:rsid w:val="007027B1"/>
    <w:rsid w:val="0070286C"/>
    <w:rsid w:val="00704DF6"/>
    <w:rsid w:val="0070641D"/>
    <w:rsid w:val="0070651C"/>
    <w:rsid w:val="00706D1C"/>
    <w:rsid w:val="007132A3"/>
    <w:rsid w:val="00716421"/>
    <w:rsid w:val="00721419"/>
    <w:rsid w:val="00724EFB"/>
    <w:rsid w:val="00726575"/>
    <w:rsid w:val="00730310"/>
    <w:rsid w:val="00731751"/>
    <w:rsid w:val="00740A49"/>
    <w:rsid w:val="007419C3"/>
    <w:rsid w:val="00746559"/>
    <w:rsid w:val="007467A7"/>
    <w:rsid w:val="007469DD"/>
    <w:rsid w:val="0074741B"/>
    <w:rsid w:val="0074759E"/>
    <w:rsid w:val="007478EA"/>
    <w:rsid w:val="0075415C"/>
    <w:rsid w:val="00757097"/>
    <w:rsid w:val="00761E8B"/>
    <w:rsid w:val="00763502"/>
    <w:rsid w:val="00765BE4"/>
    <w:rsid w:val="00780D50"/>
    <w:rsid w:val="0078360C"/>
    <w:rsid w:val="007913AB"/>
    <w:rsid w:val="007914F7"/>
    <w:rsid w:val="00792DB0"/>
    <w:rsid w:val="00794D4A"/>
    <w:rsid w:val="00795C73"/>
    <w:rsid w:val="0079697B"/>
    <w:rsid w:val="007A4809"/>
    <w:rsid w:val="007B1625"/>
    <w:rsid w:val="007B706E"/>
    <w:rsid w:val="007B71EB"/>
    <w:rsid w:val="007C0748"/>
    <w:rsid w:val="007C6205"/>
    <w:rsid w:val="007C686A"/>
    <w:rsid w:val="007C728E"/>
    <w:rsid w:val="007D0BE0"/>
    <w:rsid w:val="007D204F"/>
    <w:rsid w:val="007D2C53"/>
    <w:rsid w:val="007D3A50"/>
    <w:rsid w:val="007D3D60"/>
    <w:rsid w:val="007D46E9"/>
    <w:rsid w:val="007E0A48"/>
    <w:rsid w:val="007E1980"/>
    <w:rsid w:val="007E4B76"/>
    <w:rsid w:val="007E5043"/>
    <w:rsid w:val="007E5EA8"/>
    <w:rsid w:val="007E78C7"/>
    <w:rsid w:val="007F0CF1"/>
    <w:rsid w:val="007F12A5"/>
    <w:rsid w:val="007F2D74"/>
    <w:rsid w:val="007F3FB7"/>
    <w:rsid w:val="007F4CF1"/>
    <w:rsid w:val="007F758D"/>
    <w:rsid w:val="007F7D52"/>
    <w:rsid w:val="0080484A"/>
    <w:rsid w:val="00805589"/>
    <w:rsid w:val="008057A5"/>
    <w:rsid w:val="00805E2F"/>
    <w:rsid w:val="0080654C"/>
    <w:rsid w:val="008071C6"/>
    <w:rsid w:val="00817A00"/>
    <w:rsid w:val="00820B95"/>
    <w:rsid w:val="00825891"/>
    <w:rsid w:val="00831631"/>
    <w:rsid w:val="0083228D"/>
    <w:rsid w:val="00833D07"/>
    <w:rsid w:val="00835DB3"/>
    <w:rsid w:val="0083617B"/>
    <w:rsid w:val="00836342"/>
    <w:rsid w:val="00836A2D"/>
    <w:rsid w:val="008371BD"/>
    <w:rsid w:val="00840EBF"/>
    <w:rsid w:val="008504A8"/>
    <w:rsid w:val="00851111"/>
    <w:rsid w:val="00851B58"/>
    <w:rsid w:val="0085282E"/>
    <w:rsid w:val="008578F1"/>
    <w:rsid w:val="00861DBB"/>
    <w:rsid w:val="00867550"/>
    <w:rsid w:val="0087198C"/>
    <w:rsid w:val="00872C1F"/>
    <w:rsid w:val="00873B42"/>
    <w:rsid w:val="00877CB0"/>
    <w:rsid w:val="008805AC"/>
    <w:rsid w:val="00880D1A"/>
    <w:rsid w:val="00884468"/>
    <w:rsid w:val="008856D8"/>
    <w:rsid w:val="00892E82"/>
    <w:rsid w:val="00893277"/>
    <w:rsid w:val="00895FA9"/>
    <w:rsid w:val="008A1035"/>
    <w:rsid w:val="008A6E08"/>
    <w:rsid w:val="008B1B43"/>
    <w:rsid w:val="008B2139"/>
    <w:rsid w:val="008C0BE9"/>
    <w:rsid w:val="008C1B58"/>
    <w:rsid w:val="008C283C"/>
    <w:rsid w:val="008C39AE"/>
    <w:rsid w:val="008C40DF"/>
    <w:rsid w:val="008C590D"/>
    <w:rsid w:val="008D447E"/>
    <w:rsid w:val="008D7566"/>
    <w:rsid w:val="008E031B"/>
    <w:rsid w:val="008E0560"/>
    <w:rsid w:val="008E2D8C"/>
    <w:rsid w:val="008E6187"/>
    <w:rsid w:val="008E7029"/>
    <w:rsid w:val="008E7EF6"/>
    <w:rsid w:val="008F0D9B"/>
    <w:rsid w:val="008F1F98"/>
    <w:rsid w:val="008F2340"/>
    <w:rsid w:val="008F2790"/>
    <w:rsid w:val="008F2E89"/>
    <w:rsid w:val="008F3CE8"/>
    <w:rsid w:val="008F6758"/>
    <w:rsid w:val="009040DD"/>
    <w:rsid w:val="00905B47"/>
    <w:rsid w:val="0090690F"/>
    <w:rsid w:val="00911391"/>
    <w:rsid w:val="0091331C"/>
    <w:rsid w:val="009137BD"/>
    <w:rsid w:val="00913D01"/>
    <w:rsid w:val="0091503D"/>
    <w:rsid w:val="00924879"/>
    <w:rsid w:val="00926971"/>
    <w:rsid w:val="009279DE"/>
    <w:rsid w:val="00927AB9"/>
    <w:rsid w:val="00927B37"/>
    <w:rsid w:val="00930116"/>
    <w:rsid w:val="00930625"/>
    <w:rsid w:val="00933BB7"/>
    <w:rsid w:val="00941082"/>
    <w:rsid w:val="0094212C"/>
    <w:rsid w:val="00944853"/>
    <w:rsid w:val="0094609D"/>
    <w:rsid w:val="0095378C"/>
    <w:rsid w:val="00954689"/>
    <w:rsid w:val="0095472A"/>
    <w:rsid w:val="0096085A"/>
    <w:rsid w:val="009617C9"/>
    <w:rsid w:val="00961C93"/>
    <w:rsid w:val="00962B4E"/>
    <w:rsid w:val="00965324"/>
    <w:rsid w:val="0097001B"/>
    <w:rsid w:val="0097091E"/>
    <w:rsid w:val="0097244F"/>
    <w:rsid w:val="009760D3"/>
    <w:rsid w:val="00977132"/>
    <w:rsid w:val="00981A4B"/>
    <w:rsid w:val="00982250"/>
    <w:rsid w:val="00982501"/>
    <w:rsid w:val="00983D33"/>
    <w:rsid w:val="0098475F"/>
    <w:rsid w:val="009877D3"/>
    <w:rsid w:val="00992400"/>
    <w:rsid w:val="00992690"/>
    <w:rsid w:val="00994247"/>
    <w:rsid w:val="00994E8F"/>
    <w:rsid w:val="009951DC"/>
    <w:rsid w:val="009959BB"/>
    <w:rsid w:val="00997158"/>
    <w:rsid w:val="00997E35"/>
    <w:rsid w:val="009A03BD"/>
    <w:rsid w:val="009A0827"/>
    <w:rsid w:val="009A3A7C"/>
    <w:rsid w:val="009A5D33"/>
    <w:rsid w:val="009A7D84"/>
    <w:rsid w:val="009B2323"/>
    <w:rsid w:val="009B2ADB"/>
    <w:rsid w:val="009B4B5B"/>
    <w:rsid w:val="009B603A"/>
    <w:rsid w:val="009B6B38"/>
    <w:rsid w:val="009C237D"/>
    <w:rsid w:val="009C2D0E"/>
    <w:rsid w:val="009C3DAC"/>
    <w:rsid w:val="009C42E0"/>
    <w:rsid w:val="009D3230"/>
    <w:rsid w:val="009D5362"/>
    <w:rsid w:val="009E1415"/>
    <w:rsid w:val="009E6116"/>
    <w:rsid w:val="009E7E25"/>
    <w:rsid w:val="009E7FB5"/>
    <w:rsid w:val="009F4997"/>
    <w:rsid w:val="00A02E43"/>
    <w:rsid w:val="00A05368"/>
    <w:rsid w:val="00A065F9"/>
    <w:rsid w:val="00A07011"/>
    <w:rsid w:val="00A07F34"/>
    <w:rsid w:val="00A212BE"/>
    <w:rsid w:val="00A22154"/>
    <w:rsid w:val="00A24058"/>
    <w:rsid w:val="00A25C38"/>
    <w:rsid w:val="00A3250D"/>
    <w:rsid w:val="00A32B18"/>
    <w:rsid w:val="00A35683"/>
    <w:rsid w:val="00A35824"/>
    <w:rsid w:val="00A35E69"/>
    <w:rsid w:val="00A36BBE"/>
    <w:rsid w:val="00A37C20"/>
    <w:rsid w:val="00A40D9E"/>
    <w:rsid w:val="00A41DF7"/>
    <w:rsid w:val="00A420B1"/>
    <w:rsid w:val="00A42ECA"/>
    <w:rsid w:val="00A4307A"/>
    <w:rsid w:val="00A46DEF"/>
    <w:rsid w:val="00A47EBB"/>
    <w:rsid w:val="00A51CDD"/>
    <w:rsid w:val="00A563F8"/>
    <w:rsid w:val="00A56BBA"/>
    <w:rsid w:val="00A5705C"/>
    <w:rsid w:val="00A60927"/>
    <w:rsid w:val="00A649C0"/>
    <w:rsid w:val="00A6730D"/>
    <w:rsid w:val="00A71625"/>
    <w:rsid w:val="00A71B9B"/>
    <w:rsid w:val="00A751C7"/>
    <w:rsid w:val="00A80008"/>
    <w:rsid w:val="00A833F0"/>
    <w:rsid w:val="00A84CE5"/>
    <w:rsid w:val="00A87844"/>
    <w:rsid w:val="00A9227B"/>
    <w:rsid w:val="00A958C1"/>
    <w:rsid w:val="00A97A55"/>
    <w:rsid w:val="00AA038C"/>
    <w:rsid w:val="00AA3E02"/>
    <w:rsid w:val="00AA7A09"/>
    <w:rsid w:val="00AB3B50"/>
    <w:rsid w:val="00AB6C66"/>
    <w:rsid w:val="00AB7391"/>
    <w:rsid w:val="00AC05B1"/>
    <w:rsid w:val="00AC450C"/>
    <w:rsid w:val="00AD340B"/>
    <w:rsid w:val="00AD356C"/>
    <w:rsid w:val="00AE2914"/>
    <w:rsid w:val="00AE6D15"/>
    <w:rsid w:val="00AE7023"/>
    <w:rsid w:val="00AE78AA"/>
    <w:rsid w:val="00AF0EF3"/>
    <w:rsid w:val="00AF1F49"/>
    <w:rsid w:val="00AF2D81"/>
    <w:rsid w:val="00B04182"/>
    <w:rsid w:val="00B05ECF"/>
    <w:rsid w:val="00B07AE3"/>
    <w:rsid w:val="00B10EB7"/>
    <w:rsid w:val="00B11430"/>
    <w:rsid w:val="00B12A5D"/>
    <w:rsid w:val="00B12CB8"/>
    <w:rsid w:val="00B14872"/>
    <w:rsid w:val="00B20376"/>
    <w:rsid w:val="00B242F4"/>
    <w:rsid w:val="00B2477A"/>
    <w:rsid w:val="00B24D1C"/>
    <w:rsid w:val="00B30072"/>
    <w:rsid w:val="00B30481"/>
    <w:rsid w:val="00B32D8A"/>
    <w:rsid w:val="00B3312F"/>
    <w:rsid w:val="00B353EB"/>
    <w:rsid w:val="00B4016F"/>
    <w:rsid w:val="00B407AC"/>
    <w:rsid w:val="00B439C4"/>
    <w:rsid w:val="00B4450C"/>
    <w:rsid w:val="00B4535E"/>
    <w:rsid w:val="00B52A8C"/>
    <w:rsid w:val="00B54707"/>
    <w:rsid w:val="00B56155"/>
    <w:rsid w:val="00B62F11"/>
    <w:rsid w:val="00B63042"/>
    <w:rsid w:val="00B636A8"/>
    <w:rsid w:val="00B665C6"/>
    <w:rsid w:val="00B72AD8"/>
    <w:rsid w:val="00B74441"/>
    <w:rsid w:val="00B758A5"/>
    <w:rsid w:val="00B805AF"/>
    <w:rsid w:val="00B82BD5"/>
    <w:rsid w:val="00B869EC"/>
    <w:rsid w:val="00B92383"/>
    <w:rsid w:val="00B9397A"/>
    <w:rsid w:val="00B9633D"/>
    <w:rsid w:val="00B967D5"/>
    <w:rsid w:val="00B96FC3"/>
    <w:rsid w:val="00BA2EBE"/>
    <w:rsid w:val="00BB0F28"/>
    <w:rsid w:val="00BB458A"/>
    <w:rsid w:val="00BB693F"/>
    <w:rsid w:val="00BB7D24"/>
    <w:rsid w:val="00BC0A8E"/>
    <w:rsid w:val="00BC2F78"/>
    <w:rsid w:val="00BC5953"/>
    <w:rsid w:val="00BD00D3"/>
    <w:rsid w:val="00BD1659"/>
    <w:rsid w:val="00BD3AA9"/>
    <w:rsid w:val="00BD4A18"/>
    <w:rsid w:val="00BD6DB2"/>
    <w:rsid w:val="00BD73A1"/>
    <w:rsid w:val="00BE11CF"/>
    <w:rsid w:val="00BE21AB"/>
    <w:rsid w:val="00BE3635"/>
    <w:rsid w:val="00BE55CB"/>
    <w:rsid w:val="00BE7067"/>
    <w:rsid w:val="00BF23AE"/>
    <w:rsid w:val="00BF3BB2"/>
    <w:rsid w:val="00BF617A"/>
    <w:rsid w:val="00C0379D"/>
    <w:rsid w:val="00C03931"/>
    <w:rsid w:val="00C05FE3"/>
    <w:rsid w:val="00C073FB"/>
    <w:rsid w:val="00C10282"/>
    <w:rsid w:val="00C11DA9"/>
    <w:rsid w:val="00C2136D"/>
    <w:rsid w:val="00C214EE"/>
    <w:rsid w:val="00C2314B"/>
    <w:rsid w:val="00C244A0"/>
    <w:rsid w:val="00C24971"/>
    <w:rsid w:val="00C25355"/>
    <w:rsid w:val="00C26BE5"/>
    <w:rsid w:val="00C26E4D"/>
    <w:rsid w:val="00C27909"/>
    <w:rsid w:val="00C27B03"/>
    <w:rsid w:val="00C3129F"/>
    <w:rsid w:val="00C314E1"/>
    <w:rsid w:val="00C34397"/>
    <w:rsid w:val="00C371FA"/>
    <w:rsid w:val="00C40503"/>
    <w:rsid w:val="00C4095D"/>
    <w:rsid w:val="00C57A9C"/>
    <w:rsid w:val="00C601D2"/>
    <w:rsid w:val="00C637F5"/>
    <w:rsid w:val="00C65BCC"/>
    <w:rsid w:val="00C66970"/>
    <w:rsid w:val="00C66E99"/>
    <w:rsid w:val="00C71F4D"/>
    <w:rsid w:val="00C835A9"/>
    <w:rsid w:val="00C85C67"/>
    <w:rsid w:val="00C8691C"/>
    <w:rsid w:val="00C86CB4"/>
    <w:rsid w:val="00C96295"/>
    <w:rsid w:val="00C96364"/>
    <w:rsid w:val="00CA03DF"/>
    <w:rsid w:val="00CA168A"/>
    <w:rsid w:val="00CA2097"/>
    <w:rsid w:val="00CA357E"/>
    <w:rsid w:val="00CA44F9"/>
    <w:rsid w:val="00CA4A69"/>
    <w:rsid w:val="00CA4CD2"/>
    <w:rsid w:val="00CB6E3D"/>
    <w:rsid w:val="00CB722E"/>
    <w:rsid w:val="00CC3699"/>
    <w:rsid w:val="00CC3E0C"/>
    <w:rsid w:val="00CC58D3"/>
    <w:rsid w:val="00CC784D"/>
    <w:rsid w:val="00CF1E15"/>
    <w:rsid w:val="00CF25CA"/>
    <w:rsid w:val="00D00A8D"/>
    <w:rsid w:val="00D03268"/>
    <w:rsid w:val="00D0337B"/>
    <w:rsid w:val="00D07777"/>
    <w:rsid w:val="00D079B2"/>
    <w:rsid w:val="00D07A95"/>
    <w:rsid w:val="00D101FA"/>
    <w:rsid w:val="00D114E9"/>
    <w:rsid w:val="00D17CD8"/>
    <w:rsid w:val="00D213B2"/>
    <w:rsid w:val="00D2527C"/>
    <w:rsid w:val="00D313B3"/>
    <w:rsid w:val="00D3421D"/>
    <w:rsid w:val="00D355BE"/>
    <w:rsid w:val="00D35B8E"/>
    <w:rsid w:val="00D40F07"/>
    <w:rsid w:val="00D429C6"/>
    <w:rsid w:val="00D42EFB"/>
    <w:rsid w:val="00D47748"/>
    <w:rsid w:val="00D5178F"/>
    <w:rsid w:val="00D518DF"/>
    <w:rsid w:val="00D54CC3"/>
    <w:rsid w:val="00D6041A"/>
    <w:rsid w:val="00D61258"/>
    <w:rsid w:val="00D633EB"/>
    <w:rsid w:val="00D736AC"/>
    <w:rsid w:val="00D747AA"/>
    <w:rsid w:val="00D75A7E"/>
    <w:rsid w:val="00D82FF7"/>
    <w:rsid w:val="00D847FE"/>
    <w:rsid w:val="00D86B9C"/>
    <w:rsid w:val="00D900CD"/>
    <w:rsid w:val="00D90A39"/>
    <w:rsid w:val="00D964EA"/>
    <w:rsid w:val="00D966D0"/>
    <w:rsid w:val="00DA0C59"/>
    <w:rsid w:val="00DA1D7C"/>
    <w:rsid w:val="00DA3991"/>
    <w:rsid w:val="00DA72A1"/>
    <w:rsid w:val="00DA7F95"/>
    <w:rsid w:val="00DB01F1"/>
    <w:rsid w:val="00DB3222"/>
    <w:rsid w:val="00DB7E6C"/>
    <w:rsid w:val="00DC4F68"/>
    <w:rsid w:val="00DC64B0"/>
    <w:rsid w:val="00DC6631"/>
    <w:rsid w:val="00DC6B1E"/>
    <w:rsid w:val="00DD04AB"/>
    <w:rsid w:val="00DD252A"/>
    <w:rsid w:val="00DD5949"/>
    <w:rsid w:val="00DD5A29"/>
    <w:rsid w:val="00DD5D9D"/>
    <w:rsid w:val="00DE35CB"/>
    <w:rsid w:val="00DF08CF"/>
    <w:rsid w:val="00DF0EF0"/>
    <w:rsid w:val="00DF21E9"/>
    <w:rsid w:val="00DF22C7"/>
    <w:rsid w:val="00DF5CC9"/>
    <w:rsid w:val="00E00F14"/>
    <w:rsid w:val="00E01CB8"/>
    <w:rsid w:val="00E06386"/>
    <w:rsid w:val="00E075C5"/>
    <w:rsid w:val="00E1051A"/>
    <w:rsid w:val="00E11668"/>
    <w:rsid w:val="00E118E7"/>
    <w:rsid w:val="00E122B7"/>
    <w:rsid w:val="00E130B1"/>
    <w:rsid w:val="00E151C7"/>
    <w:rsid w:val="00E16339"/>
    <w:rsid w:val="00E21B55"/>
    <w:rsid w:val="00E221D3"/>
    <w:rsid w:val="00E224DC"/>
    <w:rsid w:val="00E228C8"/>
    <w:rsid w:val="00E240FF"/>
    <w:rsid w:val="00E24EB4"/>
    <w:rsid w:val="00E25E4C"/>
    <w:rsid w:val="00E27317"/>
    <w:rsid w:val="00E300AE"/>
    <w:rsid w:val="00E30635"/>
    <w:rsid w:val="00E320ED"/>
    <w:rsid w:val="00E33AFB"/>
    <w:rsid w:val="00E34218"/>
    <w:rsid w:val="00E4555B"/>
    <w:rsid w:val="00E458FE"/>
    <w:rsid w:val="00E46282"/>
    <w:rsid w:val="00E47530"/>
    <w:rsid w:val="00E5216E"/>
    <w:rsid w:val="00E5529C"/>
    <w:rsid w:val="00E571C0"/>
    <w:rsid w:val="00E657C6"/>
    <w:rsid w:val="00E75D40"/>
    <w:rsid w:val="00E81965"/>
    <w:rsid w:val="00E82344"/>
    <w:rsid w:val="00E84C82"/>
    <w:rsid w:val="00E84D64"/>
    <w:rsid w:val="00E87408"/>
    <w:rsid w:val="00E914C4"/>
    <w:rsid w:val="00E934F5"/>
    <w:rsid w:val="00E96961"/>
    <w:rsid w:val="00EA6112"/>
    <w:rsid w:val="00EA72EC"/>
    <w:rsid w:val="00EB11CB"/>
    <w:rsid w:val="00EB1C71"/>
    <w:rsid w:val="00EB275A"/>
    <w:rsid w:val="00EB328D"/>
    <w:rsid w:val="00EB57CA"/>
    <w:rsid w:val="00EB786A"/>
    <w:rsid w:val="00EC1578"/>
    <w:rsid w:val="00EC1BFC"/>
    <w:rsid w:val="00EC1C72"/>
    <w:rsid w:val="00EC3356"/>
    <w:rsid w:val="00EC3CC9"/>
    <w:rsid w:val="00EC5D85"/>
    <w:rsid w:val="00EC680A"/>
    <w:rsid w:val="00ED511C"/>
    <w:rsid w:val="00ED7229"/>
    <w:rsid w:val="00EE25CB"/>
    <w:rsid w:val="00EE2BED"/>
    <w:rsid w:val="00EE374B"/>
    <w:rsid w:val="00EE4A87"/>
    <w:rsid w:val="00EF2869"/>
    <w:rsid w:val="00EF3DD8"/>
    <w:rsid w:val="00F00DEC"/>
    <w:rsid w:val="00F05D60"/>
    <w:rsid w:val="00F07224"/>
    <w:rsid w:val="00F07FD3"/>
    <w:rsid w:val="00F10110"/>
    <w:rsid w:val="00F10BC6"/>
    <w:rsid w:val="00F11BB5"/>
    <w:rsid w:val="00F1296C"/>
    <w:rsid w:val="00F1417B"/>
    <w:rsid w:val="00F1712D"/>
    <w:rsid w:val="00F17A17"/>
    <w:rsid w:val="00F208A0"/>
    <w:rsid w:val="00F2115E"/>
    <w:rsid w:val="00F27B3D"/>
    <w:rsid w:val="00F30ABD"/>
    <w:rsid w:val="00F34697"/>
    <w:rsid w:val="00F34B99"/>
    <w:rsid w:val="00F40B02"/>
    <w:rsid w:val="00F41E81"/>
    <w:rsid w:val="00F51720"/>
    <w:rsid w:val="00F51CF2"/>
    <w:rsid w:val="00F52DAB"/>
    <w:rsid w:val="00F543F0"/>
    <w:rsid w:val="00F55E3E"/>
    <w:rsid w:val="00F57601"/>
    <w:rsid w:val="00F67D36"/>
    <w:rsid w:val="00F73F99"/>
    <w:rsid w:val="00F75F80"/>
    <w:rsid w:val="00F77A7D"/>
    <w:rsid w:val="00F81D29"/>
    <w:rsid w:val="00F865B9"/>
    <w:rsid w:val="00F90BE5"/>
    <w:rsid w:val="00F91C4D"/>
    <w:rsid w:val="00F92FD9"/>
    <w:rsid w:val="00FA37B1"/>
    <w:rsid w:val="00FA3E0B"/>
    <w:rsid w:val="00FA5EF7"/>
    <w:rsid w:val="00FA6684"/>
    <w:rsid w:val="00FA731E"/>
    <w:rsid w:val="00FA7BD0"/>
    <w:rsid w:val="00FB15B4"/>
    <w:rsid w:val="00FB1DCF"/>
    <w:rsid w:val="00FB2B38"/>
    <w:rsid w:val="00FB61CE"/>
    <w:rsid w:val="00FB79E4"/>
    <w:rsid w:val="00FB7A07"/>
    <w:rsid w:val="00FC04CC"/>
    <w:rsid w:val="00FC2066"/>
    <w:rsid w:val="00FC6358"/>
    <w:rsid w:val="00FC749A"/>
    <w:rsid w:val="00FD1381"/>
    <w:rsid w:val="00FD320D"/>
    <w:rsid w:val="00FE1B98"/>
    <w:rsid w:val="00FE23DE"/>
    <w:rsid w:val="00FF1801"/>
    <w:rsid w:val="00FF6842"/>
    <w:rsid w:val="020A5F20"/>
    <w:rsid w:val="02AE31F8"/>
    <w:rsid w:val="02C823DF"/>
    <w:rsid w:val="032B6771"/>
    <w:rsid w:val="03C60624"/>
    <w:rsid w:val="03C9219C"/>
    <w:rsid w:val="03F3064B"/>
    <w:rsid w:val="041741F5"/>
    <w:rsid w:val="046478C9"/>
    <w:rsid w:val="04877585"/>
    <w:rsid w:val="05C42789"/>
    <w:rsid w:val="06174D34"/>
    <w:rsid w:val="063C46B1"/>
    <w:rsid w:val="066F68B8"/>
    <w:rsid w:val="06836626"/>
    <w:rsid w:val="074C5A33"/>
    <w:rsid w:val="0761356A"/>
    <w:rsid w:val="079B4CCF"/>
    <w:rsid w:val="07CE6A17"/>
    <w:rsid w:val="07DC7B67"/>
    <w:rsid w:val="09271661"/>
    <w:rsid w:val="09692E8A"/>
    <w:rsid w:val="098A4C60"/>
    <w:rsid w:val="09A46DAC"/>
    <w:rsid w:val="0C1D0ACA"/>
    <w:rsid w:val="0C393562"/>
    <w:rsid w:val="0C901AA9"/>
    <w:rsid w:val="0D2F2455"/>
    <w:rsid w:val="0D6E3F18"/>
    <w:rsid w:val="0EF80318"/>
    <w:rsid w:val="0F827226"/>
    <w:rsid w:val="104C4968"/>
    <w:rsid w:val="10C97FBA"/>
    <w:rsid w:val="1109365A"/>
    <w:rsid w:val="11E608FC"/>
    <w:rsid w:val="12177AB8"/>
    <w:rsid w:val="12502F39"/>
    <w:rsid w:val="12B52B90"/>
    <w:rsid w:val="13154CFA"/>
    <w:rsid w:val="13A974FF"/>
    <w:rsid w:val="14264FE0"/>
    <w:rsid w:val="1462050D"/>
    <w:rsid w:val="14642443"/>
    <w:rsid w:val="14F748AF"/>
    <w:rsid w:val="1531082B"/>
    <w:rsid w:val="15543DCE"/>
    <w:rsid w:val="1568787A"/>
    <w:rsid w:val="15B304F5"/>
    <w:rsid w:val="164240EB"/>
    <w:rsid w:val="164C0C8A"/>
    <w:rsid w:val="16745ABE"/>
    <w:rsid w:val="167D6B28"/>
    <w:rsid w:val="16B827DF"/>
    <w:rsid w:val="16E8026F"/>
    <w:rsid w:val="17314B0A"/>
    <w:rsid w:val="180B2D97"/>
    <w:rsid w:val="1827552D"/>
    <w:rsid w:val="189959D5"/>
    <w:rsid w:val="19220F95"/>
    <w:rsid w:val="1A605EA9"/>
    <w:rsid w:val="1ACB68E1"/>
    <w:rsid w:val="1AD67034"/>
    <w:rsid w:val="1BD4202D"/>
    <w:rsid w:val="1BE7774A"/>
    <w:rsid w:val="1C090A6B"/>
    <w:rsid w:val="1D215C5D"/>
    <w:rsid w:val="1D2B4429"/>
    <w:rsid w:val="1DF31440"/>
    <w:rsid w:val="1E732AF6"/>
    <w:rsid w:val="1E9266E3"/>
    <w:rsid w:val="1EB60686"/>
    <w:rsid w:val="20146634"/>
    <w:rsid w:val="20390790"/>
    <w:rsid w:val="20EA3023"/>
    <w:rsid w:val="21B45B5C"/>
    <w:rsid w:val="21CF36BC"/>
    <w:rsid w:val="21CF6E04"/>
    <w:rsid w:val="225E0B1F"/>
    <w:rsid w:val="229A1CE7"/>
    <w:rsid w:val="232E2103"/>
    <w:rsid w:val="234F3E1D"/>
    <w:rsid w:val="23D24478"/>
    <w:rsid w:val="24B8469A"/>
    <w:rsid w:val="24D5020B"/>
    <w:rsid w:val="25682C73"/>
    <w:rsid w:val="26B11E06"/>
    <w:rsid w:val="279406E0"/>
    <w:rsid w:val="27A04C51"/>
    <w:rsid w:val="28553092"/>
    <w:rsid w:val="285A649D"/>
    <w:rsid w:val="28F14C70"/>
    <w:rsid w:val="29054F6B"/>
    <w:rsid w:val="290C4C94"/>
    <w:rsid w:val="29E26379"/>
    <w:rsid w:val="29F52E50"/>
    <w:rsid w:val="2BF1714C"/>
    <w:rsid w:val="2C306E4D"/>
    <w:rsid w:val="2CA50391"/>
    <w:rsid w:val="2CD13AB8"/>
    <w:rsid w:val="2D52166B"/>
    <w:rsid w:val="2DA67AE3"/>
    <w:rsid w:val="2E1A75D0"/>
    <w:rsid w:val="2E4206F6"/>
    <w:rsid w:val="2E710285"/>
    <w:rsid w:val="2E891CB9"/>
    <w:rsid w:val="2EA33BE4"/>
    <w:rsid w:val="2F7F1DB2"/>
    <w:rsid w:val="2F8D364D"/>
    <w:rsid w:val="30521280"/>
    <w:rsid w:val="32544FB6"/>
    <w:rsid w:val="32C43EEA"/>
    <w:rsid w:val="32F10F07"/>
    <w:rsid w:val="332E2F02"/>
    <w:rsid w:val="333A0D8B"/>
    <w:rsid w:val="333C3B18"/>
    <w:rsid w:val="342A2AD5"/>
    <w:rsid w:val="345C0152"/>
    <w:rsid w:val="345E3AB2"/>
    <w:rsid w:val="34B63260"/>
    <w:rsid w:val="34B63D06"/>
    <w:rsid w:val="34E13990"/>
    <w:rsid w:val="34F226A3"/>
    <w:rsid w:val="35967ABB"/>
    <w:rsid w:val="359D0A22"/>
    <w:rsid w:val="35FF6C0C"/>
    <w:rsid w:val="36674C78"/>
    <w:rsid w:val="3681649D"/>
    <w:rsid w:val="36B86F52"/>
    <w:rsid w:val="372633C5"/>
    <w:rsid w:val="37672265"/>
    <w:rsid w:val="37F93FBB"/>
    <w:rsid w:val="385408DD"/>
    <w:rsid w:val="38A60943"/>
    <w:rsid w:val="38A71C05"/>
    <w:rsid w:val="38B6177E"/>
    <w:rsid w:val="390055E2"/>
    <w:rsid w:val="3916464B"/>
    <w:rsid w:val="392C1FEA"/>
    <w:rsid w:val="39514E04"/>
    <w:rsid w:val="39795389"/>
    <w:rsid w:val="3A3354AA"/>
    <w:rsid w:val="3AD40391"/>
    <w:rsid w:val="3AE8410D"/>
    <w:rsid w:val="3B170D24"/>
    <w:rsid w:val="3B5B0FE0"/>
    <w:rsid w:val="3B7E4082"/>
    <w:rsid w:val="3C1557B6"/>
    <w:rsid w:val="3D2917D1"/>
    <w:rsid w:val="3E051999"/>
    <w:rsid w:val="3E1B56EB"/>
    <w:rsid w:val="3F2F6685"/>
    <w:rsid w:val="3FCE13F4"/>
    <w:rsid w:val="403A3BDC"/>
    <w:rsid w:val="41B40495"/>
    <w:rsid w:val="41DE3B93"/>
    <w:rsid w:val="421B1856"/>
    <w:rsid w:val="42721159"/>
    <w:rsid w:val="42A20BC9"/>
    <w:rsid w:val="42BF760F"/>
    <w:rsid w:val="42DA5063"/>
    <w:rsid w:val="42FA2FD0"/>
    <w:rsid w:val="43016A94"/>
    <w:rsid w:val="431C6406"/>
    <w:rsid w:val="434C391B"/>
    <w:rsid w:val="444E603C"/>
    <w:rsid w:val="44502085"/>
    <w:rsid w:val="44561FB7"/>
    <w:rsid w:val="44C556F7"/>
    <w:rsid w:val="45110EE9"/>
    <w:rsid w:val="451773B3"/>
    <w:rsid w:val="457508B5"/>
    <w:rsid w:val="459776C9"/>
    <w:rsid w:val="45AD05BE"/>
    <w:rsid w:val="46343544"/>
    <w:rsid w:val="46C44F06"/>
    <w:rsid w:val="46C6602A"/>
    <w:rsid w:val="46CB3641"/>
    <w:rsid w:val="46CC73B9"/>
    <w:rsid w:val="46E2098A"/>
    <w:rsid w:val="46F5799A"/>
    <w:rsid w:val="470C20C4"/>
    <w:rsid w:val="47194187"/>
    <w:rsid w:val="473D403E"/>
    <w:rsid w:val="474D2135"/>
    <w:rsid w:val="492437C3"/>
    <w:rsid w:val="4A2915E0"/>
    <w:rsid w:val="4AB13CC8"/>
    <w:rsid w:val="4ABF7C69"/>
    <w:rsid w:val="4AE149B8"/>
    <w:rsid w:val="4AF626C2"/>
    <w:rsid w:val="4B4E5B1F"/>
    <w:rsid w:val="4BF7402E"/>
    <w:rsid w:val="4BF91F24"/>
    <w:rsid w:val="4C514493"/>
    <w:rsid w:val="4C5A2353"/>
    <w:rsid w:val="4C746E31"/>
    <w:rsid w:val="4CD70F4D"/>
    <w:rsid w:val="4CE845B2"/>
    <w:rsid w:val="4EC04804"/>
    <w:rsid w:val="4F4A6BA4"/>
    <w:rsid w:val="4F7B439B"/>
    <w:rsid w:val="500F1C51"/>
    <w:rsid w:val="50225F20"/>
    <w:rsid w:val="50C11611"/>
    <w:rsid w:val="50FF4063"/>
    <w:rsid w:val="51130DF6"/>
    <w:rsid w:val="528D7E4F"/>
    <w:rsid w:val="52AE6BEA"/>
    <w:rsid w:val="52B7093F"/>
    <w:rsid w:val="52EF62AB"/>
    <w:rsid w:val="5322283B"/>
    <w:rsid w:val="539C2D05"/>
    <w:rsid w:val="53D035FF"/>
    <w:rsid w:val="53FF192C"/>
    <w:rsid w:val="541A5393"/>
    <w:rsid w:val="54EB1352"/>
    <w:rsid w:val="554038E1"/>
    <w:rsid w:val="55B72ADC"/>
    <w:rsid w:val="56637B48"/>
    <w:rsid w:val="56681DAE"/>
    <w:rsid w:val="56A6578B"/>
    <w:rsid w:val="57315EB4"/>
    <w:rsid w:val="575C781E"/>
    <w:rsid w:val="57B36DD7"/>
    <w:rsid w:val="581B413F"/>
    <w:rsid w:val="58835D02"/>
    <w:rsid w:val="58BD6086"/>
    <w:rsid w:val="58FD4AA4"/>
    <w:rsid w:val="590D1C61"/>
    <w:rsid w:val="5AA26DBF"/>
    <w:rsid w:val="5BC41CC4"/>
    <w:rsid w:val="5C136506"/>
    <w:rsid w:val="5C1F6C37"/>
    <w:rsid w:val="5C495346"/>
    <w:rsid w:val="5CD03307"/>
    <w:rsid w:val="5CFF3025"/>
    <w:rsid w:val="5D192F00"/>
    <w:rsid w:val="5DAF3D2A"/>
    <w:rsid w:val="5E3723DB"/>
    <w:rsid w:val="5ED819C3"/>
    <w:rsid w:val="5F321CA7"/>
    <w:rsid w:val="5F5A4D24"/>
    <w:rsid w:val="5FE61E59"/>
    <w:rsid w:val="60634D98"/>
    <w:rsid w:val="6075464D"/>
    <w:rsid w:val="60CB4EA2"/>
    <w:rsid w:val="60CF7AB0"/>
    <w:rsid w:val="616E6854"/>
    <w:rsid w:val="620D0B5A"/>
    <w:rsid w:val="624C125B"/>
    <w:rsid w:val="62A54910"/>
    <w:rsid w:val="630A3BCE"/>
    <w:rsid w:val="63993718"/>
    <w:rsid w:val="63C813A2"/>
    <w:rsid w:val="646B3CCD"/>
    <w:rsid w:val="64A26300"/>
    <w:rsid w:val="64A502A1"/>
    <w:rsid w:val="64B81251"/>
    <w:rsid w:val="64D07FF4"/>
    <w:rsid w:val="64E26247"/>
    <w:rsid w:val="65A131E2"/>
    <w:rsid w:val="65BD1262"/>
    <w:rsid w:val="65BF17CE"/>
    <w:rsid w:val="65C90BFE"/>
    <w:rsid w:val="6666174A"/>
    <w:rsid w:val="66D77888"/>
    <w:rsid w:val="67550BB0"/>
    <w:rsid w:val="67873EC3"/>
    <w:rsid w:val="683747EF"/>
    <w:rsid w:val="68762C60"/>
    <w:rsid w:val="69022461"/>
    <w:rsid w:val="6A9503A5"/>
    <w:rsid w:val="6ACA583A"/>
    <w:rsid w:val="6B4407A5"/>
    <w:rsid w:val="6C116892"/>
    <w:rsid w:val="6C173D51"/>
    <w:rsid w:val="6C1F5711"/>
    <w:rsid w:val="6C6F2328"/>
    <w:rsid w:val="6CD025E4"/>
    <w:rsid w:val="6D583391"/>
    <w:rsid w:val="6D591ABA"/>
    <w:rsid w:val="6D802AF0"/>
    <w:rsid w:val="6D880877"/>
    <w:rsid w:val="6D974EE2"/>
    <w:rsid w:val="6E701DBA"/>
    <w:rsid w:val="6ED07197"/>
    <w:rsid w:val="6F7A3F4B"/>
    <w:rsid w:val="6FC9590F"/>
    <w:rsid w:val="70017D35"/>
    <w:rsid w:val="70F53606"/>
    <w:rsid w:val="718766B5"/>
    <w:rsid w:val="726B432C"/>
    <w:rsid w:val="729131E3"/>
    <w:rsid w:val="72A7638A"/>
    <w:rsid w:val="7365715D"/>
    <w:rsid w:val="737A29C8"/>
    <w:rsid w:val="73C51892"/>
    <w:rsid w:val="74A93561"/>
    <w:rsid w:val="74C4154C"/>
    <w:rsid w:val="74CC4D3A"/>
    <w:rsid w:val="74E474F8"/>
    <w:rsid w:val="753A597B"/>
    <w:rsid w:val="7649092B"/>
    <w:rsid w:val="76DA2F0F"/>
    <w:rsid w:val="77180932"/>
    <w:rsid w:val="773758DC"/>
    <w:rsid w:val="779D63AD"/>
    <w:rsid w:val="77FA51E5"/>
    <w:rsid w:val="78280386"/>
    <w:rsid w:val="78815C89"/>
    <w:rsid w:val="78A43DC0"/>
    <w:rsid w:val="79077C59"/>
    <w:rsid w:val="79300F0A"/>
    <w:rsid w:val="79907C4E"/>
    <w:rsid w:val="79FB0E9B"/>
    <w:rsid w:val="7A1C1B2C"/>
    <w:rsid w:val="7A1F40F5"/>
    <w:rsid w:val="7AB06E64"/>
    <w:rsid w:val="7ACC2DD7"/>
    <w:rsid w:val="7B3E4995"/>
    <w:rsid w:val="7B762868"/>
    <w:rsid w:val="7BA432F3"/>
    <w:rsid w:val="7C172CEB"/>
    <w:rsid w:val="7D102876"/>
    <w:rsid w:val="7D6D72CC"/>
    <w:rsid w:val="7DDC139B"/>
    <w:rsid w:val="7E444B16"/>
    <w:rsid w:val="7ECD4A82"/>
    <w:rsid w:val="7F746C1E"/>
    <w:rsid w:val="7FB007B8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semiHidden="0" w:name="footnote text"/>
    <w:lsdException w:uiPriority="0" w:name="annotation text"/>
    <w:lsdException w:qFormat="1" w:unhideWhenUsed="0" w:uiPriority="0" w:semiHidden="0" w:name="header"/>
    <w:lsdException w:qFormat="1" w:unhideWhenUsed="0" w:uiPriority="99" w:semiHidden="0" w:name="footer"/>
    <w:lsdException w:qFormat="1" w:unhideWhenUsed="0" w:uiPriority="0" w:semiHidden="0" w:name="index heading"/>
    <w:lsdException w:qFormat="1" w:unhideWhenUsed="0" w:uiPriority="0" w:semiHidden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uiPriority="0" w:name="annotation reference"/>
    <w:lsdException w:uiPriority="0" w:name="line number"/>
    <w:lsdException w:qFormat="1" w:unhideWhenUsed="0" w:uiPriority="0" w:semiHidden="0" w:name="page number"/>
    <w:lsdException w:qFormat="1" w:unhideWhenUsed="0" w:uiPriority="0" w:name="endnote reference"/>
    <w:lsdException w:qFormat="1" w:unhideWhenUsed="0"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nhideWhenUsed="0" w:uiPriority="0" w:semiHidden="0" w:name="List Number"/>
    <w:lsdException w:uiPriority="0" w:name="List 2"/>
    <w:lsdException w:uiPriority="0" w:name="List 3"/>
    <w:lsdException w:unhideWhenUsed="0" w:uiPriority="0" w:semiHidden="0" w:name="List 4"/>
    <w:lsdException w:unhideWhenUsed="0" w:uiPriority="0" w:semiHidden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29">
    <w:name w:val="Default Paragraph Font"/>
    <w:semiHidden/>
    <w:unhideWhenUsed/>
    <w:qFormat/>
    <w:uiPriority w:val="1"/>
  </w:style>
  <w:style w:type="table" w:default="1" w:styleId="3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toc 7"/>
    <w:basedOn w:val="1"/>
    <w:next w:val="1"/>
    <w:semiHidden/>
    <w:qFormat/>
    <w:uiPriority w:val="0"/>
    <w:pPr>
      <w:tabs>
        <w:tab w:val="right" w:leader="dot" w:pos="9241"/>
      </w:tabs>
      <w:ind w:firstLine="500" w:firstLineChars="500"/>
      <w:jc w:val="left"/>
    </w:pPr>
    <w:rPr>
      <w:rFonts w:ascii="宋体"/>
      <w:szCs w:val="21"/>
    </w:rPr>
  </w:style>
  <w:style w:type="paragraph" w:styleId="3">
    <w:name w:val="index 8"/>
    <w:basedOn w:val="1"/>
    <w:next w:val="1"/>
    <w:qFormat/>
    <w:uiPriority w:val="0"/>
    <w:pPr>
      <w:ind w:left="1680" w:hanging="210"/>
      <w:jc w:val="left"/>
    </w:pPr>
    <w:rPr>
      <w:rFonts w:ascii="Calibri" w:hAnsi="Calibri"/>
      <w:sz w:val="20"/>
      <w:szCs w:val="20"/>
    </w:rPr>
  </w:style>
  <w:style w:type="paragraph" w:styleId="4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  <w:szCs w:val="20"/>
    </w:rPr>
  </w:style>
  <w:style w:type="paragraph" w:styleId="5">
    <w:name w:val="index 5"/>
    <w:basedOn w:val="1"/>
    <w:next w:val="1"/>
    <w:qFormat/>
    <w:uiPriority w:val="0"/>
    <w:pPr>
      <w:ind w:left="1050" w:hanging="210"/>
      <w:jc w:val="left"/>
    </w:pPr>
    <w:rPr>
      <w:rFonts w:ascii="Calibri" w:hAnsi="Calibri"/>
      <w:sz w:val="20"/>
      <w:szCs w:val="20"/>
    </w:rPr>
  </w:style>
  <w:style w:type="paragraph" w:styleId="6">
    <w:name w:val="Document Map"/>
    <w:basedOn w:val="1"/>
    <w:semiHidden/>
    <w:qFormat/>
    <w:uiPriority w:val="0"/>
    <w:pPr>
      <w:shd w:val="clear" w:color="auto" w:fill="000080"/>
    </w:pPr>
  </w:style>
  <w:style w:type="paragraph" w:styleId="7">
    <w:name w:val="index 6"/>
    <w:basedOn w:val="1"/>
    <w:next w:val="1"/>
    <w:qFormat/>
    <w:uiPriority w:val="0"/>
    <w:pPr>
      <w:ind w:left="1260" w:hanging="210"/>
      <w:jc w:val="left"/>
    </w:pPr>
    <w:rPr>
      <w:rFonts w:ascii="Calibri" w:hAnsi="Calibri"/>
      <w:sz w:val="20"/>
      <w:szCs w:val="20"/>
    </w:rPr>
  </w:style>
  <w:style w:type="paragraph" w:styleId="8">
    <w:name w:val="index 4"/>
    <w:basedOn w:val="1"/>
    <w:next w:val="1"/>
    <w:qFormat/>
    <w:uiPriority w:val="0"/>
    <w:pPr>
      <w:ind w:left="840" w:hanging="210"/>
      <w:jc w:val="left"/>
    </w:pPr>
    <w:rPr>
      <w:rFonts w:ascii="Calibri" w:hAnsi="Calibri"/>
      <w:sz w:val="20"/>
      <w:szCs w:val="20"/>
    </w:rPr>
  </w:style>
  <w:style w:type="paragraph" w:styleId="9">
    <w:name w:val="toc 5"/>
    <w:basedOn w:val="1"/>
    <w:next w:val="1"/>
    <w:semiHidden/>
    <w:qFormat/>
    <w:uiPriority w:val="0"/>
    <w:pPr>
      <w:tabs>
        <w:tab w:val="right" w:leader="dot" w:pos="9241"/>
      </w:tabs>
      <w:ind w:firstLine="300" w:firstLineChars="300"/>
      <w:jc w:val="left"/>
    </w:pPr>
    <w:rPr>
      <w:rFonts w:ascii="宋体"/>
      <w:szCs w:val="21"/>
    </w:rPr>
  </w:style>
  <w:style w:type="paragraph" w:styleId="10">
    <w:name w:val="toc 3"/>
    <w:basedOn w:val="1"/>
    <w:next w:val="1"/>
    <w:semiHidden/>
    <w:qFormat/>
    <w:uiPriority w:val="0"/>
    <w:pPr>
      <w:tabs>
        <w:tab w:val="right" w:leader="dot" w:pos="9241"/>
      </w:tabs>
      <w:ind w:firstLine="100" w:firstLineChars="100"/>
      <w:jc w:val="left"/>
    </w:pPr>
    <w:rPr>
      <w:rFonts w:ascii="宋体"/>
      <w:szCs w:val="21"/>
    </w:rPr>
  </w:style>
  <w:style w:type="paragraph" w:styleId="11">
    <w:name w:val="toc 8"/>
    <w:basedOn w:val="1"/>
    <w:next w:val="1"/>
    <w:semiHidden/>
    <w:qFormat/>
    <w:uiPriority w:val="0"/>
    <w:pPr>
      <w:tabs>
        <w:tab w:val="right" w:leader="dot" w:pos="9241"/>
      </w:tabs>
      <w:ind w:firstLine="607" w:firstLineChars="600"/>
      <w:jc w:val="left"/>
    </w:pPr>
    <w:rPr>
      <w:rFonts w:ascii="宋体"/>
      <w:szCs w:val="21"/>
    </w:rPr>
  </w:style>
  <w:style w:type="paragraph" w:styleId="12">
    <w:name w:val="index 3"/>
    <w:basedOn w:val="1"/>
    <w:next w:val="1"/>
    <w:qFormat/>
    <w:uiPriority w:val="0"/>
    <w:pPr>
      <w:ind w:left="630" w:hanging="210"/>
      <w:jc w:val="left"/>
    </w:pPr>
    <w:rPr>
      <w:rFonts w:ascii="Calibri" w:hAnsi="Calibri"/>
      <w:sz w:val="20"/>
      <w:szCs w:val="20"/>
    </w:rPr>
  </w:style>
  <w:style w:type="paragraph" w:styleId="13">
    <w:name w:val="endnote text"/>
    <w:basedOn w:val="1"/>
    <w:semiHidden/>
    <w:qFormat/>
    <w:uiPriority w:val="0"/>
    <w:pPr>
      <w:snapToGrid w:val="0"/>
      <w:jc w:val="left"/>
    </w:pPr>
  </w:style>
  <w:style w:type="paragraph" w:styleId="14">
    <w:name w:val="Balloon Text"/>
    <w:basedOn w:val="1"/>
    <w:link w:val="138"/>
    <w:qFormat/>
    <w:uiPriority w:val="0"/>
    <w:rPr>
      <w:sz w:val="18"/>
      <w:szCs w:val="18"/>
    </w:rPr>
  </w:style>
  <w:style w:type="paragraph" w:styleId="15">
    <w:name w:val="footer"/>
    <w:basedOn w:val="1"/>
    <w:link w:val="140"/>
    <w:qFormat/>
    <w:uiPriority w:val="99"/>
    <w:pPr>
      <w:snapToGrid w:val="0"/>
      <w:ind w:right="210" w:rightChars="100"/>
      <w:jc w:val="right"/>
    </w:pPr>
    <w:rPr>
      <w:sz w:val="18"/>
      <w:szCs w:val="18"/>
    </w:rPr>
  </w:style>
  <w:style w:type="paragraph" w:styleId="16">
    <w:name w:val="header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17">
    <w:name w:val="toc 1"/>
    <w:basedOn w:val="1"/>
    <w:next w:val="1"/>
    <w:semiHidden/>
    <w:qFormat/>
    <w:uiPriority w:val="0"/>
    <w:pPr>
      <w:tabs>
        <w:tab w:val="right" w:leader="dot" w:pos="9242"/>
      </w:tabs>
      <w:spacing w:beforeLines="25" w:afterLines="25"/>
      <w:jc w:val="left"/>
    </w:pPr>
    <w:rPr>
      <w:rFonts w:ascii="宋体"/>
      <w:szCs w:val="21"/>
    </w:rPr>
  </w:style>
  <w:style w:type="paragraph" w:styleId="18">
    <w:name w:val="toc 4"/>
    <w:basedOn w:val="1"/>
    <w:next w:val="1"/>
    <w:semiHidden/>
    <w:qFormat/>
    <w:uiPriority w:val="0"/>
    <w:pPr>
      <w:tabs>
        <w:tab w:val="right" w:leader="dot" w:pos="9241"/>
      </w:tabs>
      <w:ind w:firstLine="200" w:firstLineChars="200"/>
      <w:jc w:val="left"/>
    </w:pPr>
    <w:rPr>
      <w:rFonts w:ascii="宋体"/>
      <w:szCs w:val="21"/>
    </w:rPr>
  </w:style>
  <w:style w:type="paragraph" w:styleId="19">
    <w:name w:val="index heading"/>
    <w:basedOn w:val="1"/>
    <w:next w:val="20"/>
    <w:qFormat/>
    <w:uiPriority w:val="0"/>
    <w:pPr>
      <w:spacing w:before="120" w:after="120"/>
      <w:jc w:val="center"/>
    </w:pPr>
    <w:rPr>
      <w:rFonts w:ascii="Calibri" w:hAnsi="Calibri"/>
      <w:b/>
      <w:bCs/>
      <w:iCs/>
      <w:szCs w:val="20"/>
    </w:rPr>
  </w:style>
  <w:style w:type="paragraph" w:styleId="20">
    <w:name w:val="index 1"/>
    <w:basedOn w:val="1"/>
    <w:next w:val="21"/>
    <w:qFormat/>
    <w:uiPriority w:val="0"/>
    <w:pPr>
      <w:tabs>
        <w:tab w:val="right" w:leader="dot" w:pos="9299"/>
      </w:tabs>
      <w:jc w:val="left"/>
    </w:pPr>
    <w:rPr>
      <w:rFonts w:ascii="宋体"/>
      <w:szCs w:val="21"/>
    </w:rPr>
  </w:style>
  <w:style w:type="paragraph" w:customStyle="1" w:styleId="21">
    <w:name w:val="段"/>
    <w:link w:val="38"/>
    <w:qFormat/>
    <w:uiPriority w:val="99"/>
    <w:pPr>
      <w:tabs>
        <w:tab w:val="center" w:pos="4201"/>
        <w:tab w:val="right" w:leader="dot" w:pos="9298"/>
      </w:tabs>
      <w:autoSpaceDE w:val="0"/>
      <w:autoSpaceDN w:val="0"/>
      <w:ind w:firstLine="42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22">
    <w:name w:val="footnote text"/>
    <w:basedOn w:val="1"/>
    <w:qFormat/>
    <w:uiPriority w:val="0"/>
    <w:pPr>
      <w:numPr>
        <w:ilvl w:val="0"/>
        <w:numId w:val="1"/>
      </w:numPr>
      <w:snapToGrid w:val="0"/>
      <w:jc w:val="left"/>
    </w:pPr>
    <w:rPr>
      <w:rFonts w:ascii="宋体"/>
      <w:sz w:val="18"/>
      <w:szCs w:val="18"/>
    </w:rPr>
  </w:style>
  <w:style w:type="paragraph" w:styleId="23">
    <w:name w:val="toc 6"/>
    <w:basedOn w:val="1"/>
    <w:next w:val="1"/>
    <w:semiHidden/>
    <w:qFormat/>
    <w:uiPriority w:val="0"/>
    <w:pPr>
      <w:tabs>
        <w:tab w:val="right" w:leader="dot" w:pos="9241"/>
      </w:tabs>
      <w:ind w:firstLine="400" w:firstLineChars="400"/>
      <w:jc w:val="left"/>
    </w:pPr>
    <w:rPr>
      <w:rFonts w:ascii="宋体"/>
      <w:szCs w:val="21"/>
    </w:rPr>
  </w:style>
  <w:style w:type="paragraph" w:styleId="24">
    <w:name w:val="index 7"/>
    <w:basedOn w:val="1"/>
    <w:next w:val="1"/>
    <w:qFormat/>
    <w:uiPriority w:val="0"/>
    <w:pPr>
      <w:ind w:left="1470" w:hanging="210"/>
      <w:jc w:val="left"/>
    </w:pPr>
    <w:rPr>
      <w:rFonts w:ascii="Calibri" w:hAnsi="Calibri"/>
      <w:sz w:val="20"/>
      <w:szCs w:val="20"/>
    </w:rPr>
  </w:style>
  <w:style w:type="paragraph" w:styleId="25">
    <w:name w:val="index 9"/>
    <w:basedOn w:val="1"/>
    <w:next w:val="1"/>
    <w:qFormat/>
    <w:uiPriority w:val="0"/>
    <w:pPr>
      <w:ind w:left="1890" w:hanging="210"/>
      <w:jc w:val="left"/>
    </w:pPr>
    <w:rPr>
      <w:rFonts w:ascii="Calibri" w:hAnsi="Calibri"/>
      <w:sz w:val="20"/>
      <w:szCs w:val="20"/>
    </w:rPr>
  </w:style>
  <w:style w:type="paragraph" w:styleId="26">
    <w:name w:val="toc 2"/>
    <w:basedOn w:val="1"/>
    <w:next w:val="1"/>
    <w:semiHidden/>
    <w:qFormat/>
    <w:uiPriority w:val="0"/>
    <w:pPr>
      <w:tabs>
        <w:tab w:val="right" w:leader="dot" w:pos="9242"/>
      </w:tabs>
    </w:pPr>
    <w:rPr>
      <w:rFonts w:ascii="宋体"/>
      <w:szCs w:val="21"/>
    </w:rPr>
  </w:style>
  <w:style w:type="paragraph" w:styleId="27">
    <w:name w:val="toc 9"/>
    <w:basedOn w:val="1"/>
    <w:next w:val="1"/>
    <w:semiHidden/>
    <w:qFormat/>
    <w:uiPriority w:val="0"/>
    <w:pPr>
      <w:ind w:left="1470"/>
      <w:jc w:val="left"/>
    </w:pPr>
    <w:rPr>
      <w:sz w:val="20"/>
      <w:szCs w:val="20"/>
    </w:rPr>
  </w:style>
  <w:style w:type="paragraph" w:styleId="28">
    <w:name w:val="index 2"/>
    <w:basedOn w:val="1"/>
    <w:next w:val="1"/>
    <w:qFormat/>
    <w:uiPriority w:val="0"/>
    <w:pPr>
      <w:ind w:left="420" w:hanging="210"/>
      <w:jc w:val="left"/>
    </w:pPr>
    <w:rPr>
      <w:rFonts w:ascii="Calibri" w:hAnsi="Calibri"/>
      <w:sz w:val="20"/>
      <w:szCs w:val="20"/>
    </w:rPr>
  </w:style>
  <w:style w:type="character" w:styleId="30">
    <w:name w:val="endnote reference"/>
    <w:semiHidden/>
    <w:qFormat/>
    <w:uiPriority w:val="0"/>
    <w:rPr>
      <w:vertAlign w:val="superscript"/>
    </w:rPr>
  </w:style>
  <w:style w:type="character" w:styleId="31">
    <w:name w:val="page number"/>
    <w:qFormat/>
    <w:uiPriority w:val="0"/>
    <w:rPr>
      <w:rFonts w:ascii="Times New Roman" w:hAnsi="Times New Roman" w:eastAsia="宋体"/>
      <w:sz w:val="18"/>
    </w:rPr>
  </w:style>
  <w:style w:type="character" w:styleId="32">
    <w:name w:val="FollowedHyperlink"/>
    <w:qFormat/>
    <w:uiPriority w:val="0"/>
    <w:rPr>
      <w:color w:val="800080"/>
      <w:u w:val="single"/>
    </w:rPr>
  </w:style>
  <w:style w:type="character" w:styleId="33">
    <w:name w:val="Emphasis"/>
    <w:basedOn w:val="29"/>
    <w:qFormat/>
    <w:uiPriority w:val="0"/>
    <w:rPr>
      <w:i/>
    </w:rPr>
  </w:style>
  <w:style w:type="character" w:styleId="34">
    <w:name w:val="Hyperlink"/>
    <w:qFormat/>
    <w:uiPriority w:val="0"/>
    <w:rPr>
      <w:color w:val="0000FF"/>
      <w:spacing w:val="0"/>
      <w:w w:val="100"/>
      <w:szCs w:val="21"/>
      <w:u w:val="single"/>
    </w:rPr>
  </w:style>
  <w:style w:type="character" w:styleId="35">
    <w:name w:val="footnote reference"/>
    <w:semiHidden/>
    <w:qFormat/>
    <w:uiPriority w:val="0"/>
    <w:rPr>
      <w:vertAlign w:val="superscript"/>
    </w:rPr>
  </w:style>
  <w:style w:type="table" w:styleId="37">
    <w:name w:val="Table Grid"/>
    <w:basedOn w:val="36"/>
    <w:qFormat/>
    <w:uiPriority w:val="0"/>
    <w:rPr>
      <w:rFonts w:ascii="宋体"/>
      <w:sz w:val="18"/>
      <w:szCs w:val="18"/>
    </w:r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Layout w:type="fixed"/>
    </w:tblPr>
  </w:style>
  <w:style w:type="character" w:customStyle="1" w:styleId="38">
    <w:name w:val="段 Char"/>
    <w:link w:val="21"/>
    <w:qFormat/>
    <w:uiPriority w:val="99"/>
    <w:rPr>
      <w:rFonts w:ascii="宋体"/>
      <w:sz w:val="21"/>
      <w:lang w:val="en-US" w:eastAsia="zh-CN" w:bidi="ar-SA"/>
    </w:rPr>
  </w:style>
  <w:style w:type="paragraph" w:customStyle="1" w:styleId="39">
    <w:name w:val="一级条标题"/>
    <w:next w:val="21"/>
    <w:qFormat/>
    <w:uiPriority w:val="0"/>
    <w:pPr>
      <w:numPr>
        <w:ilvl w:val="1"/>
        <w:numId w:val="2"/>
      </w:numPr>
      <w:spacing w:beforeLines="50" w:afterLines="50"/>
      <w:outlineLvl w:val="2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0">
    <w:name w:val="标准书脚_奇数页"/>
    <w:qFormat/>
    <w:uiPriority w:val="0"/>
    <w:pPr>
      <w:spacing w:before="120"/>
      <w:ind w:right="198"/>
      <w:jc w:val="right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41">
    <w:name w:val="标准书眉_奇数页"/>
    <w:next w:val="1"/>
    <w:qFormat/>
    <w:uiPriority w:val="0"/>
    <w:pPr>
      <w:tabs>
        <w:tab w:val="center" w:pos="4154"/>
        <w:tab w:val="right" w:pos="8306"/>
      </w:tabs>
      <w:spacing w:after="220"/>
      <w:jc w:val="right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42">
    <w:name w:val="章标题"/>
    <w:next w:val="21"/>
    <w:qFormat/>
    <w:uiPriority w:val="0"/>
    <w:pPr>
      <w:numPr>
        <w:ilvl w:val="0"/>
        <w:numId w:val="2"/>
      </w:numPr>
      <w:spacing w:beforeLines="100" w:afterLines="10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43">
    <w:name w:val="二级条标题"/>
    <w:basedOn w:val="39"/>
    <w:next w:val="21"/>
    <w:qFormat/>
    <w:uiPriority w:val="0"/>
    <w:pPr>
      <w:numPr>
        <w:ilvl w:val="2"/>
      </w:numPr>
      <w:spacing w:before="50" w:after="50"/>
      <w:outlineLvl w:val="3"/>
    </w:pPr>
  </w:style>
  <w:style w:type="paragraph" w:customStyle="1" w:styleId="44">
    <w:name w:val="封面标准号2"/>
    <w:qFormat/>
    <w:uiPriority w:val="0"/>
    <w:pPr>
      <w:framePr w:w="9140" w:h="1242" w:hRule="exact" w:hSpace="284" w:wrap="around" w:vAnchor="page" w:hAnchor="page" w:x="1645" w:y="2910" w:anchorLock="1"/>
      <w:spacing w:before="357" w:line="280" w:lineRule="exact"/>
      <w:jc w:val="right"/>
    </w:pPr>
    <w:rPr>
      <w:rFonts w:ascii="黑体" w:hAnsi="Times New Roman" w:eastAsia="黑体" w:cs="Times New Roman"/>
      <w:sz w:val="28"/>
      <w:szCs w:val="28"/>
      <w:lang w:val="en-US" w:eastAsia="zh-CN" w:bidi="ar-SA"/>
    </w:rPr>
  </w:style>
  <w:style w:type="paragraph" w:customStyle="1" w:styleId="45">
    <w:name w:val="列项——（一级）"/>
    <w:qFormat/>
    <w:uiPriority w:val="0"/>
    <w:pPr>
      <w:widowControl w:val="0"/>
      <w:numPr>
        <w:ilvl w:val="0"/>
        <w:numId w:val="3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6">
    <w:name w:val="列项●（二级）"/>
    <w:qFormat/>
    <w:uiPriority w:val="0"/>
    <w:pPr>
      <w:numPr>
        <w:ilvl w:val="1"/>
        <w:numId w:val="3"/>
      </w:numPr>
      <w:tabs>
        <w:tab w:val="left" w:pos="840"/>
      </w:tabs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7">
    <w:name w:val="目次、标准名称标题"/>
    <w:basedOn w:val="1"/>
    <w:next w:val="21"/>
    <w:link w:val="136"/>
    <w:qFormat/>
    <w:uiPriority w:val="0"/>
    <w:pPr>
      <w:keepNext/>
      <w:pageBreakBefore/>
      <w:widowControl/>
      <w:shd w:val="clear" w:color="FFFFFF" w:fill="FFFFFF"/>
      <w:spacing w:before="640" w:after="560" w:line="460" w:lineRule="exact"/>
      <w:jc w:val="center"/>
      <w:outlineLvl w:val="0"/>
    </w:pPr>
    <w:rPr>
      <w:rFonts w:ascii="黑体" w:eastAsia="黑体"/>
      <w:kern w:val="0"/>
      <w:sz w:val="32"/>
      <w:szCs w:val="20"/>
    </w:rPr>
  </w:style>
  <w:style w:type="paragraph" w:customStyle="1" w:styleId="48">
    <w:name w:val="三级条标题"/>
    <w:basedOn w:val="43"/>
    <w:next w:val="21"/>
    <w:qFormat/>
    <w:uiPriority w:val="0"/>
    <w:pPr>
      <w:numPr>
        <w:ilvl w:val="3"/>
      </w:numPr>
      <w:outlineLvl w:val="4"/>
    </w:pPr>
  </w:style>
  <w:style w:type="paragraph" w:customStyle="1" w:styleId="49">
    <w:name w:val="示例"/>
    <w:next w:val="50"/>
    <w:qFormat/>
    <w:uiPriority w:val="0"/>
    <w:pPr>
      <w:widowControl w:val="0"/>
      <w:numPr>
        <w:ilvl w:val="0"/>
        <w:numId w:val="4"/>
      </w:numPr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0">
    <w:name w:val="示例内容"/>
    <w:qFormat/>
    <w:uiPriority w:val="0"/>
    <w:pPr>
      <w:ind w:firstLine="200" w:firstLineChars="200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1">
    <w:name w:val="数字编号列项（二级）"/>
    <w:qFormat/>
    <w:uiPriority w:val="0"/>
    <w:pPr>
      <w:numPr>
        <w:ilvl w:val="1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2">
    <w:name w:val="四级条标题"/>
    <w:basedOn w:val="48"/>
    <w:next w:val="21"/>
    <w:qFormat/>
    <w:uiPriority w:val="0"/>
    <w:pPr>
      <w:numPr>
        <w:ilvl w:val="4"/>
      </w:numPr>
      <w:outlineLvl w:val="5"/>
    </w:pPr>
  </w:style>
  <w:style w:type="paragraph" w:customStyle="1" w:styleId="53">
    <w:name w:val="五级条标题"/>
    <w:basedOn w:val="52"/>
    <w:next w:val="21"/>
    <w:qFormat/>
    <w:uiPriority w:val="0"/>
    <w:pPr>
      <w:numPr>
        <w:ilvl w:val="5"/>
      </w:numPr>
      <w:outlineLvl w:val="6"/>
    </w:pPr>
  </w:style>
  <w:style w:type="paragraph" w:customStyle="1" w:styleId="54">
    <w:name w:val="注："/>
    <w:next w:val="21"/>
    <w:qFormat/>
    <w:uiPriority w:val="0"/>
    <w:pPr>
      <w:widowControl w:val="0"/>
      <w:numPr>
        <w:ilvl w:val="0"/>
        <w:numId w:val="6"/>
      </w:numPr>
      <w:autoSpaceDE w:val="0"/>
      <w:autoSpaceDN w:val="0"/>
      <w:ind w:left="726" w:hanging="363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5">
    <w:name w:val="注×："/>
    <w:qFormat/>
    <w:uiPriority w:val="0"/>
    <w:pPr>
      <w:widowControl w:val="0"/>
      <w:numPr>
        <w:ilvl w:val="0"/>
        <w:numId w:val="7"/>
      </w:numPr>
      <w:autoSpaceDE w:val="0"/>
      <w:autoSpaceDN w:val="0"/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56">
    <w:name w:val="字母编号列项（一级）"/>
    <w:qFormat/>
    <w:uiPriority w:val="0"/>
    <w:pPr>
      <w:numPr>
        <w:ilvl w:val="0"/>
        <w:numId w:val="5"/>
      </w:num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7">
    <w:name w:val="列项◆（三级）"/>
    <w:basedOn w:val="1"/>
    <w:qFormat/>
    <w:uiPriority w:val="0"/>
    <w:pPr>
      <w:numPr>
        <w:ilvl w:val="2"/>
        <w:numId w:val="3"/>
      </w:numPr>
    </w:pPr>
    <w:rPr>
      <w:rFonts w:ascii="宋体"/>
      <w:szCs w:val="21"/>
    </w:rPr>
  </w:style>
  <w:style w:type="paragraph" w:customStyle="1" w:styleId="58">
    <w:name w:val="编号列项（三级）"/>
    <w:qFormat/>
    <w:uiPriority w:val="0"/>
    <w:pPr>
      <w:numPr>
        <w:ilvl w:val="2"/>
        <w:numId w:val="5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59">
    <w:name w:val="示例×："/>
    <w:basedOn w:val="42"/>
    <w:qFormat/>
    <w:uiPriority w:val="0"/>
    <w:pPr>
      <w:numPr>
        <w:numId w:val="8"/>
      </w:numPr>
      <w:spacing w:beforeLines="0" w:afterLines="0"/>
      <w:outlineLvl w:val="9"/>
    </w:pPr>
    <w:rPr>
      <w:rFonts w:ascii="宋体" w:eastAsia="宋体"/>
      <w:sz w:val="18"/>
      <w:szCs w:val="18"/>
    </w:rPr>
  </w:style>
  <w:style w:type="paragraph" w:customStyle="1" w:styleId="60">
    <w:name w:val="二级无"/>
    <w:basedOn w:val="43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61">
    <w:name w:val="注：（正文）"/>
    <w:basedOn w:val="54"/>
    <w:next w:val="21"/>
    <w:qFormat/>
    <w:uiPriority w:val="0"/>
    <w:pPr>
      <w:numPr>
        <w:numId w:val="9"/>
      </w:numPr>
      <w:ind w:left="726" w:hanging="363"/>
    </w:pPr>
  </w:style>
  <w:style w:type="paragraph" w:customStyle="1" w:styleId="62">
    <w:name w:val="注×：（正文）"/>
    <w:qFormat/>
    <w:uiPriority w:val="0"/>
    <w:pPr>
      <w:numPr>
        <w:ilvl w:val="0"/>
        <w:numId w:val="10"/>
      </w:numPr>
      <w:ind w:left="811" w:hanging="448"/>
      <w:jc w:val="both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3">
    <w:name w:val="标准标志"/>
    <w:next w:val="1"/>
    <w:qFormat/>
    <w:uiPriority w:val="0"/>
    <w:pPr>
      <w:framePr w:w="2546" w:h="1389" w:hRule="exact" w:hSpace="181" w:vSpace="181" w:wrap="around" w:vAnchor="margin" w:hAnchor="margin" w:x="6522" w:y="398" w:anchorLock="1"/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70"/>
      <w:sz w:val="96"/>
      <w:szCs w:val="96"/>
      <w:lang w:val="en-US" w:eastAsia="zh-CN" w:bidi="ar-SA"/>
    </w:rPr>
  </w:style>
  <w:style w:type="paragraph" w:customStyle="1" w:styleId="64">
    <w:name w:val="标准称谓"/>
    <w:next w:val="1"/>
    <w:qFormat/>
    <w:uiPriority w:val="0"/>
    <w:pPr>
      <w:framePr w:w="9639" w:h="624" w:hRule="exact" w:hSpace="181" w:vSpace="181" w:wrap="around" w:vAnchor="page" w:hAnchor="page" w:x="1419" w:y="2286" w:anchorLock="1"/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48"/>
      <w:lang w:val="en-US" w:eastAsia="zh-CN" w:bidi="ar-SA"/>
    </w:rPr>
  </w:style>
  <w:style w:type="paragraph" w:customStyle="1" w:styleId="65">
    <w:name w:val="标准书脚_偶数页"/>
    <w:qFormat/>
    <w:uiPriority w:val="0"/>
    <w:pPr>
      <w:spacing w:before="120"/>
      <w:ind w:left="221"/>
    </w:pPr>
    <w:rPr>
      <w:rFonts w:ascii="宋体" w:hAnsi="Times New Roman" w:eastAsia="宋体" w:cs="Times New Roman"/>
      <w:sz w:val="18"/>
      <w:szCs w:val="18"/>
      <w:lang w:val="en-US" w:eastAsia="zh-CN" w:bidi="ar-SA"/>
    </w:rPr>
  </w:style>
  <w:style w:type="paragraph" w:customStyle="1" w:styleId="66">
    <w:name w:val="标准书眉_偶数页"/>
    <w:basedOn w:val="41"/>
    <w:next w:val="1"/>
    <w:qFormat/>
    <w:uiPriority w:val="0"/>
    <w:pPr>
      <w:jc w:val="left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参考文献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69">
    <w:name w:val="参考文献、索引标题"/>
    <w:basedOn w:val="1"/>
    <w:next w:val="21"/>
    <w:qFormat/>
    <w:uiPriority w:val="0"/>
    <w:pPr>
      <w:keepNext/>
      <w:pageBreakBefore/>
      <w:widowControl/>
      <w:shd w:val="clear" w:color="FFFFFF" w:fill="FFFFFF"/>
      <w:spacing w:before="640" w:after="200"/>
      <w:jc w:val="center"/>
      <w:outlineLvl w:val="0"/>
    </w:pPr>
    <w:rPr>
      <w:rFonts w:ascii="黑体" w:eastAsia="黑体"/>
      <w:kern w:val="0"/>
      <w:szCs w:val="20"/>
    </w:rPr>
  </w:style>
  <w:style w:type="character" w:customStyle="1" w:styleId="70">
    <w:name w:val="发布"/>
    <w:qFormat/>
    <w:uiPriority w:val="0"/>
    <w:rPr>
      <w:rFonts w:ascii="黑体" w:eastAsia="黑体"/>
      <w:spacing w:val="85"/>
      <w:w w:val="100"/>
      <w:position w:val="3"/>
      <w:sz w:val="28"/>
      <w:szCs w:val="28"/>
    </w:rPr>
  </w:style>
  <w:style w:type="paragraph" w:customStyle="1" w:styleId="71">
    <w:name w:val="发布部门"/>
    <w:next w:val="21"/>
    <w:qFormat/>
    <w:uiPriority w:val="0"/>
    <w:pPr>
      <w:framePr w:w="7938" w:h="1134" w:hRule="exact" w:hSpace="125" w:vSpace="181" w:wrap="around" w:vAnchor="page" w:hAnchor="page" w:x="2150" w:y="14630" w:anchorLock="1"/>
      <w:jc w:val="center"/>
    </w:pPr>
    <w:rPr>
      <w:rFonts w:ascii="宋体" w:hAnsi="Times New Roman" w:eastAsia="宋体" w:cs="Times New Roman"/>
      <w:b/>
      <w:spacing w:val="20"/>
      <w:w w:val="135"/>
      <w:sz w:val="28"/>
      <w:lang w:val="en-US" w:eastAsia="zh-CN" w:bidi="ar-SA"/>
    </w:rPr>
  </w:style>
  <w:style w:type="paragraph" w:customStyle="1" w:styleId="72">
    <w:name w:val="发布日期"/>
    <w:qFormat/>
    <w:uiPriority w:val="0"/>
    <w:pPr>
      <w:framePr w:w="3997" w:h="471" w:hRule="exact" w:vSpace="181" w:wrap="around" w:vAnchor="margin" w:hAnchor="page" w:x="708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代替信息"/>
    <w:qFormat/>
    <w:uiPriority w:val="0"/>
    <w:pPr>
      <w:framePr w:w="9140" w:h="1242" w:hRule="exact" w:hSpace="284" w:wrap="around" w:vAnchor="page" w:hAnchor="page" w:x="1645" w:y="2910" w:anchorLock="1"/>
      <w:spacing w:before="57" w:line="280" w:lineRule="exact"/>
      <w:jc w:val="right"/>
    </w:pPr>
    <w:rPr>
      <w:rFonts w:ascii="宋体" w:hAnsi="Times New Roman" w:eastAsia="宋体" w:cs="Times New Roman"/>
      <w:sz w:val="21"/>
      <w:szCs w:val="21"/>
      <w:lang w:val="en-US" w:eastAsia="zh-CN" w:bidi="ar-SA"/>
    </w:rPr>
  </w:style>
  <w:style w:type="paragraph" w:customStyle="1" w:styleId="74">
    <w:name w:val="封面标准号1"/>
    <w:qFormat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5">
    <w:name w:val="封面标准名称"/>
    <w:qFormat/>
    <w:uiPriority w:val="0"/>
    <w:pPr>
      <w:framePr w:w="9639" w:h="6917" w:hRule="exact" w:wrap="around" w:vAnchor="page" w:hAnchor="page" w:xAlign="center" w:y="6408" w:anchorLock="1"/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6">
    <w:name w:val="封面标准英文名称"/>
    <w:basedOn w:val="75"/>
    <w:qFormat/>
    <w:uiPriority w:val="0"/>
    <w:pPr>
      <w:spacing w:before="370" w:line="400" w:lineRule="exact"/>
    </w:pPr>
    <w:rPr>
      <w:rFonts w:ascii="Times New Roman"/>
      <w:sz w:val="28"/>
      <w:szCs w:val="28"/>
    </w:rPr>
  </w:style>
  <w:style w:type="paragraph" w:customStyle="1" w:styleId="77">
    <w:name w:val="封面一致性程度标识"/>
    <w:basedOn w:val="76"/>
    <w:qFormat/>
    <w:uiPriority w:val="0"/>
    <w:pPr>
      <w:spacing w:before="440"/>
    </w:pPr>
    <w:rPr>
      <w:rFonts w:ascii="宋体" w:eastAsia="宋体"/>
    </w:rPr>
  </w:style>
  <w:style w:type="paragraph" w:customStyle="1" w:styleId="78">
    <w:name w:val="封面标准文稿类别"/>
    <w:basedOn w:val="77"/>
    <w:qFormat/>
    <w:uiPriority w:val="0"/>
    <w:pPr>
      <w:spacing w:after="160" w:line="240" w:lineRule="auto"/>
    </w:pPr>
    <w:rPr>
      <w:sz w:val="24"/>
    </w:rPr>
  </w:style>
  <w:style w:type="paragraph" w:customStyle="1" w:styleId="79">
    <w:name w:val="封面标准文稿编辑信息"/>
    <w:basedOn w:val="78"/>
    <w:qFormat/>
    <w:uiPriority w:val="0"/>
    <w:pPr>
      <w:spacing w:before="180" w:line="180" w:lineRule="exact"/>
    </w:pPr>
    <w:rPr>
      <w:sz w:val="21"/>
    </w:rPr>
  </w:style>
  <w:style w:type="paragraph" w:customStyle="1" w:styleId="80">
    <w:name w:val="封面正文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1">
    <w:name w:val="附录标识"/>
    <w:basedOn w:val="1"/>
    <w:next w:val="21"/>
    <w:qFormat/>
    <w:uiPriority w:val="0"/>
    <w:pPr>
      <w:keepNext/>
      <w:widowControl/>
      <w:numPr>
        <w:ilvl w:val="0"/>
        <w:numId w:val="11"/>
      </w:numPr>
      <w:shd w:val="clear" w:color="FFFFFF" w:fill="FFFFFF"/>
      <w:tabs>
        <w:tab w:val="left" w:pos="360"/>
        <w:tab w:val="left" w:pos="6405"/>
      </w:tabs>
      <w:spacing w:before="640" w:after="280"/>
      <w:jc w:val="center"/>
      <w:outlineLvl w:val="0"/>
    </w:pPr>
    <w:rPr>
      <w:rFonts w:ascii="黑体" w:eastAsia="黑体"/>
      <w:kern w:val="0"/>
      <w:szCs w:val="20"/>
    </w:rPr>
  </w:style>
  <w:style w:type="paragraph" w:customStyle="1" w:styleId="82">
    <w:name w:val="附录标题"/>
    <w:basedOn w:val="21"/>
    <w:next w:val="21"/>
    <w:qFormat/>
    <w:uiPriority w:val="0"/>
    <w:pPr>
      <w:ind w:firstLine="0" w:firstLineChars="0"/>
      <w:jc w:val="center"/>
    </w:pPr>
    <w:rPr>
      <w:rFonts w:ascii="黑体" w:eastAsia="黑体"/>
    </w:rPr>
  </w:style>
  <w:style w:type="paragraph" w:customStyle="1" w:styleId="83">
    <w:name w:val="附录表标号"/>
    <w:basedOn w:val="1"/>
    <w:next w:val="21"/>
    <w:qFormat/>
    <w:uiPriority w:val="0"/>
    <w:pPr>
      <w:numPr>
        <w:ilvl w:val="0"/>
        <w:numId w:val="12"/>
      </w:numPr>
      <w:tabs>
        <w:tab w:val="clear" w:pos="0"/>
      </w:tabs>
      <w:spacing w:line="14" w:lineRule="exact"/>
      <w:ind w:left="811" w:hanging="448"/>
      <w:jc w:val="center"/>
      <w:outlineLvl w:val="0"/>
    </w:pPr>
    <w:rPr>
      <w:color w:val="FFFFFF"/>
    </w:rPr>
  </w:style>
  <w:style w:type="paragraph" w:customStyle="1" w:styleId="84">
    <w:name w:val="附录表标题"/>
    <w:basedOn w:val="1"/>
    <w:next w:val="21"/>
    <w:qFormat/>
    <w:uiPriority w:val="0"/>
    <w:pPr>
      <w:numPr>
        <w:ilvl w:val="1"/>
        <w:numId w:val="12"/>
      </w:numPr>
      <w:tabs>
        <w:tab w:val="left" w:pos="180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85">
    <w:name w:val="附录二级条标题"/>
    <w:basedOn w:val="1"/>
    <w:next w:val="21"/>
    <w:qFormat/>
    <w:uiPriority w:val="0"/>
    <w:pPr>
      <w:widowControl/>
      <w:numPr>
        <w:ilvl w:val="3"/>
        <w:numId w:val="11"/>
      </w:numPr>
      <w:tabs>
        <w:tab w:val="left" w:pos="360"/>
      </w:tabs>
      <w:wordWrap w:val="0"/>
      <w:overflowPunct w:val="0"/>
      <w:autoSpaceDE w:val="0"/>
      <w:autoSpaceDN w:val="0"/>
      <w:spacing w:beforeLines="50" w:afterLines="50"/>
      <w:textAlignment w:val="baseline"/>
      <w:outlineLvl w:val="3"/>
    </w:pPr>
    <w:rPr>
      <w:rFonts w:ascii="黑体" w:eastAsia="黑体"/>
      <w:kern w:val="21"/>
      <w:szCs w:val="20"/>
    </w:rPr>
  </w:style>
  <w:style w:type="paragraph" w:customStyle="1" w:styleId="86">
    <w:name w:val="附录二级无"/>
    <w:basedOn w:val="85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87">
    <w:name w:val="附录公式"/>
    <w:basedOn w:val="21"/>
    <w:next w:val="21"/>
    <w:link w:val="88"/>
    <w:qFormat/>
    <w:uiPriority w:val="0"/>
  </w:style>
  <w:style w:type="character" w:customStyle="1" w:styleId="88">
    <w:name w:val="附录公式 Char"/>
    <w:basedOn w:val="38"/>
    <w:link w:val="87"/>
    <w:qFormat/>
    <w:uiPriority w:val="0"/>
    <w:rPr>
      <w:rFonts w:ascii="宋体"/>
      <w:sz w:val="21"/>
      <w:lang w:val="en-US" w:eastAsia="zh-CN" w:bidi="ar-SA"/>
    </w:rPr>
  </w:style>
  <w:style w:type="paragraph" w:customStyle="1" w:styleId="89">
    <w:name w:val="附录公式编号制表符"/>
    <w:basedOn w:val="1"/>
    <w:next w:val="21"/>
    <w:qFormat/>
    <w:uiPriority w:val="0"/>
    <w:pPr>
      <w:widowControl/>
      <w:tabs>
        <w:tab w:val="center" w:pos="4201"/>
        <w:tab w:val="right" w:leader="dot" w:pos="9298"/>
      </w:tabs>
      <w:autoSpaceDE w:val="0"/>
      <w:autoSpaceDN w:val="0"/>
    </w:pPr>
    <w:rPr>
      <w:rFonts w:ascii="宋体"/>
      <w:kern w:val="0"/>
      <w:szCs w:val="20"/>
    </w:rPr>
  </w:style>
  <w:style w:type="paragraph" w:customStyle="1" w:styleId="90">
    <w:name w:val="附录三级条标题"/>
    <w:basedOn w:val="85"/>
    <w:next w:val="21"/>
    <w:qFormat/>
    <w:uiPriority w:val="0"/>
    <w:pPr>
      <w:numPr>
        <w:ilvl w:val="4"/>
      </w:numPr>
      <w:outlineLvl w:val="4"/>
    </w:pPr>
  </w:style>
  <w:style w:type="paragraph" w:customStyle="1" w:styleId="91">
    <w:name w:val="附录三级无"/>
    <w:basedOn w:val="90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2">
    <w:name w:val="附录数字编号列项（二级）"/>
    <w:qFormat/>
    <w:uiPriority w:val="0"/>
    <w:pPr>
      <w:numPr>
        <w:ilvl w:val="1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3">
    <w:name w:val="附录四级条标题"/>
    <w:basedOn w:val="90"/>
    <w:next w:val="21"/>
    <w:qFormat/>
    <w:uiPriority w:val="0"/>
    <w:pPr>
      <w:numPr>
        <w:ilvl w:val="5"/>
      </w:numPr>
      <w:outlineLvl w:val="5"/>
    </w:pPr>
  </w:style>
  <w:style w:type="paragraph" w:customStyle="1" w:styleId="94">
    <w:name w:val="附录四级无"/>
    <w:basedOn w:val="93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5">
    <w:name w:val="附录图标号"/>
    <w:basedOn w:val="1"/>
    <w:qFormat/>
    <w:uiPriority w:val="0"/>
    <w:pPr>
      <w:keepNext/>
      <w:pageBreakBefore/>
      <w:widowControl/>
      <w:numPr>
        <w:ilvl w:val="0"/>
        <w:numId w:val="14"/>
      </w:numPr>
      <w:spacing w:line="14" w:lineRule="exact"/>
      <w:ind w:left="0" w:firstLine="363"/>
      <w:jc w:val="center"/>
      <w:outlineLvl w:val="0"/>
    </w:pPr>
    <w:rPr>
      <w:color w:val="FFFFFF"/>
    </w:rPr>
  </w:style>
  <w:style w:type="paragraph" w:customStyle="1" w:styleId="96">
    <w:name w:val="附录图标题"/>
    <w:basedOn w:val="1"/>
    <w:next w:val="21"/>
    <w:qFormat/>
    <w:uiPriority w:val="0"/>
    <w:pPr>
      <w:numPr>
        <w:ilvl w:val="1"/>
        <w:numId w:val="14"/>
      </w:numPr>
      <w:tabs>
        <w:tab w:val="left" w:pos="363"/>
      </w:tabs>
      <w:spacing w:beforeLines="50" w:afterLines="50"/>
      <w:ind w:left="0" w:firstLine="0"/>
      <w:jc w:val="center"/>
    </w:pPr>
    <w:rPr>
      <w:rFonts w:ascii="黑体" w:eastAsia="黑体"/>
      <w:szCs w:val="21"/>
    </w:rPr>
  </w:style>
  <w:style w:type="paragraph" w:customStyle="1" w:styleId="97">
    <w:name w:val="附录五级条标题"/>
    <w:basedOn w:val="93"/>
    <w:next w:val="21"/>
    <w:qFormat/>
    <w:uiPriority w:val="0"/>
    <w:pPr>
      <w:numPr>
        <w:ilvl w:val="6"/>
      </w:numPr>
      <w:outlineLvl w:val="6"/>
    </w:pPr>
  </w:style>
  <w:style w:type="paragraph" w:customStyle="1" w:styleId="98">
    <w:name w:val="附录五级无"/>
    <w:basedOn w:val="97"/>
    <w:qFormat/>
    <w:uiPriority w:val="0"/>
    <w:pPr>
      <w:tabs>
        <w:tab w:val="clear" w:pos="360"/>
      </w:tabs>
      <w:spacing w:beforeLines="0" w:afterLines="0"/>
    </w:pPr>
    <w:rPr>
      <w:rFonts w:ascii="宋体" w:eastAsia="宋体"/>
      <w:szCs w:val="21"/>
    </w:rPr>
  </w:style>
  <w:style w:type="paragraph" w:customStyle="1" w:styleId="99">
    <w:name w:val="附录章标题"/>
    <w:next w:val="21"/>
    <w:qFormat/>
    <w:uiPriority w:val="0"/>
    <w:pPr>
      <w:numPr>
        <w:ilvl w:val="1"/>
        <w:numId w:val="11"/>
      </w:numPr>
      <w:wordWrap w:val="0"/>
      <w:overflowPunct w:val="0"/>
      <w:autoSpaceDE w:val="0"/>
      <w:spacing w:beforeLines="100" w:afterLines="10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100">
    <w:name w:val="附录一级条标题"/>
    <w:basedOn w:val="99"/>
    <w:next w:val="21"/>
    <w:qFormat/>
    <w:uiPriority w:val="0"/>
    <w:pPr>
      <w:numPr>
        <w:ilvl w:val="2"/>
      </w:numPr>
      <w:autoSpaceDN w:val="0"/>
      <w:spacing w:beforeLines="50" w:afterLines="50"/>
      <w:outlineLvl w:val="2"/>
    </w:pPr>
  </w:style>
  <w:style w:type="paragraph" w:customStyle="1" w:styleId="101">
    <w:name w:val="附录一级无"/>
    <w:basedOn w:val="100"/>
    <w:qFormat/>
    <w:uiPriority w:val="0"/>
    <w:pPr>
      <w:spacing w:beforeLines="0" w:afterLines="0"/>
    </w:pPr>
    <w:rPr>
      <w:rFonts w:ascii="宋体" w:eastAsia="宋体"/>
      <w:szCs w:val="21"/>
    </w:rPr>
  </w:style>
  <w:style w:type="paragraph" w:customStyle="1" w:styleId="102">
    <w:name w:val="附录字母编号列项（一级）"/>
    <w:qFormat/>
    <w:uiPriority w:val="0"/>
    <w:pPr>
      <w:numPr>
        <w:ilvl w:val="0"/>
        <w:numId w:val="13"/>
      </w:numPr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3">
    <w:name w:val="列项说明"/>
    <w:basedOn w:val="1"/>
    <w:qFormat/>
    <w:uiPriority w:val="0"/>
    <w:pPr>
      <w:adjustRightInd w:val="0"/>
      <w:spacing w:line="320" w:lineRule="exact"/>
      <w:ind w:left="400" w:leftChars="200" w:hanging="200" w:hangingChars="200"/>
      <w:jc w:val="left"/>
      <w:textAlignment w:val="baseline"/>
    </w:pPr>
    <w:rPr>
      <w:rFonts w:ascii="宋体"/>
      <w:kern w:val="0"/>
      <w:szCs w:val="20"/>
    </w:rPr>
  </w:style>
  <w:style w:type="paragraph" w:customStyle="1" w:styleId="104">
    <w:name w:val="列项说明数字编号"/>
    <w:qFormat/>
    <w:uiPriority w:val="0"/>
    <w:pPr>
      <w:ind w:left="600" w:leftChars="400" w:hanging="200" w:hangingChars="200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5">
    <w:name w:val="目次、索引正文"/>
    <w:qFormat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其他标准标志"/>
    <w:basedOn w:val="63"/>
    <w:qFormat/>
    <w:uiPriority w:val="0"/>
    <w:pPr>
      <w:framePr w:w="6101" w:vAnchor="page" w:hAnchor="page" w:x="4673" w:y="942"/>
    </w:pPr>
    <w:rPr>
      <w:w w:val="130"/>
    </w:rPr>
  </w:style>
  <w:style w:type="paragraph" w:customStyle="1" w:styleId="107">
    <w:name w:val="其他标准称谓"/>
    <w:next w:val="1"/>
    <w:qFormat/>
    <w:uiPriority w:val="0"/>
    <w:pPr>
      <w:framePr w:hSpace="181" w:vSpace="181" w:wrap="around" w:vAnchor="page" w:hAnchor="page" w:x="1419" w:y="2286" w:anchorLock="1"/>
      <w:spacing w:line="0" w:lineRule="atLeast"/>
      <w:jc w:val="distribute"/>
    </w:pPr>
    <w:rPr>
      <w:rFonts w:ascii="黑体" w:hAnsi="宋体" w:eastAsia="黑体" w:cs="Times New Roman"/>
      <w:spacing w:val="-40"/>
      <w:sz w:val="48"/>
      <w:szCs w:val="52"/>
      <w:lang w:val="en-US" w:eastAsia="zh-CN" w:bidi="ar-SA"/>
    </w:rPr>
  </w:style>
  <w:style w:type="paragraph" w:customStyle="1" w:styleId="108">
    <w:name w:val="其他发布部门"/>
    <w:basedOn w:val="71"/>
    <w:qFormat/>
    <w:uiPriority w:val="0"/>
    <w:pPr>
      <w:framePr w:y="15310"/>
      <w:spacing w:line="0" w:lineRule="atLeast"/>
    </w:pPr>
    <w:rPr>
      <w:rFonts w:ascii="黑体" w:eastAsia="黑体"/>
      <w:b w:val="0"/>
    </w:rPr>
  </w:style>
  <w:style w:type="paragraph" w:customStyle="1" w:styleId="109">
    <w:name w:val="前言、引言标题"/>
    <w:next w:val="21"/>
    <w:qFormat/>
    <w:uiPriority w:val="0"/>
    <w:pPr>
      <w:keepNext/>
      <w:pageBreakBefore/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110">
    <w:name w:val="三级无"/>
    <w:basedOn w:val="48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1">
    <w:name w:val="实施日期"/>
    <w:qFormat/>
    <w:uiPriority w:val="0"/>
    <w:pPr>
      <w:framePr w:w="3997" w:h="471" w:hRule="exact" w:vSpace="181" w:wrap="around" w:vAnchor="page" w:hAnchor="page" w:x="7089" w:y="14097"/>
      <w:jc w:val="right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12">
    <w:name w:val="示例后文字"/>
    <w:basedOn w:val="21"/>
    <w:next w:val="21"/>
    <w:qFormat/>
    <w:uiPriority w:val="0"/>
    <w:pPr>
      <w:ind w:firstLine="360"/>
    </w:pPr>
    <w:rPr>
      <w:sz w:val="18"/>
    </w:rPr>
  </w:style>
  <w:style w:type="paragraph" w:customStyle="1" w:styleId="113">
    <w:name w:val="首示例"/>
    <w:next w:val="21"/>
    <w:link w:val="114"/>
    <w:qFormat/>
    <w:uiPriority w:val="0"/>
    <w:pPr>
      <w:tabs>
        <w:tab w:val="left" w:pos="360"/>
      </w:tabs>
    </w:pPr>
    <w:rPr>
      <w:rFonts w:ascii="宋体" w:hAnsi="宋体" w:eastAsia="宋体" w:cs="Times New Roman"/>
      <w:kern w:val="2"/>
      <w:sz w:val="18"/>
      <w:szCs w:val="18"/>
      <w:lang w:val="en-US" w:eastAsia="zh-CN" w:bidi="ar-SA"/>
    </w:rPr>
  </w:style>
  <w:style w:type="character" w:customStyle="1" w:styleId="114">
    <w:name w:val="首示例 Char"/>
    <w:link w:val="113"/>
    <w:qFormat/>
    <w:uiPriority w:val="0"/>
    <w:rPr>
      <w:rFonts w:ascii="宋体" w:hAnsi="宋体"/>
      <w:kern w:val="2"/>
      <w:sz w:val="18"/>
      <w:szCs w:val="18"/>
    </w:rPr>
  </w:style>
  <w:style w:type="paragraph" w:customStyle="1" w:styleId="115">
    <w:name w:val="四级无"/>
    <w:basedOn w:val="52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16">
    <w:name w:val="条文脚注"/>
    <w:basedOn w:val="22"/>
    <w:qFormat/>
    <w:uiPriority w:val="0"/>
    <w:pPr>
      <w:numPr>
        <w:numId w:val="0"/>
      </w:numPr>
      <w:jc w:val="both"/>
    </w:pPr>
  </w:style>
  <w:style w:type="paragraph" w:customStyle="1" w:styleId="117">
    <w:name w:val="图标脚注说明"/>
    <w:basedOn w:val="21"/>
    <w:qFormat/>
    <w:uiPriority w:val="0"/>
    <w:pPr>
      <w:ind w:left="840" w:hanging="420" w:firstLineChars="0"/>
    </w:pPr>
    <w:rPr>
      <w:sz w:val="18"/>
      <w:szCs w:val="18"/>
    </w:rPr>
  </w:style>
  <w:style w:type="paragraph" w:customStyle="1" w:styleId="118">
    <w:name w:val="图表脚注说明"/>
    <w:basedOn w:val="1"/>
    <w:qFormat/>
    <w:uiPriority w:val="0"/>
    <w:pPr>
      <w:numPr>
        <w:ilvl w:val="0"/>
        <w:numId w:val="15"/>
      </w:numPr>
    </w:pPr>
    <w:rPr>
      <w:rFonts w:ascii="宋体"/>
      <w:sz w:val="18"/>
      <w:szCs w:val="18"/>
    </w:rPr>
  </w:style>
  <w:style w:type="paragraph" w:customStyle="1" w:styleId="119">
    <w:name w:val="图的脚注"/>
    <w:next w:val="21"/>
    <w:qFormat/>
    <w:uiPriority w:val="0"/>
    <w:pPr>
      <w:widowControl w:val="0"/>
      <w:ind w:left="840" w:leftChars="200" w:hanging="420" w:hangingChars="2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20">
    <w:name w:val="文献分类号"/>
    <w:qFormat/>
    <w:uiPriority w:val="0"/>
    <w:pPr>
      <w:framePr w:hSpace="180" w:vSpace="180" w:wrap="around" w:vAnchor="margin" w:hAnchor="margin" w:y="1" w:anchorLock="1"/>
      <w:widowControl w:val="0"/>
      <w:textAlignment w:val="center"/>
    </w:pPr>
    <w:rPr>
      <w:rFonts w:ascii="黑体" w:hAnsi="Times New Roman" w:eastAsia="黑体" w:cs="Times New Roman"/>
      <w:sz w:val="21"/>
      <w:szCs w:val="21"/>
      <w:lang w:val="en-US" w:eastAsia="zh-CN" w:bidi="ar-SA"/>
    </w:rPr>
  </w:style>
  <w:style w:type="paragraph" w:customStyle="1" w:styleId="121">
    <w:name w:val="五级无"/>
    <w:basedOn w:val="53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2">
    <w:name w:val="一级无"/>
    <w:basedOn w:val="39"/>
    <w:qFormat/>
    <w:uiPriority w:val="0"/>
    <w:pPr>
      <w:spacing w:beforeLines="0" w:afterLines="0"/>
    </w:pPr>
    <w:rPr>
      <w:rFonts w:ascii="宋体" w:eastAsia="宋体"/>
    </w:rPr>
  </w:style>
  <w:style w:type="paragraph" w:customStyle="1" w:styleId="123">
    <w:name w:val="正文表标题"/>
    <w:next w:val="21"/>
    <w:qFormat/>
    <w:uiPriority w:val="0"/>
    <w:pPr>
      <w:numPr>
        <w:ilvl w:val="0"/>
        <w:numId w:val="16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4">
    <w:name w:val="正文公式编号制表符"/>
    <w:basedOn w:val="21"/>
    <w:next w:val="21"/>
    <w:qFormat/>
    <w:uiPriority w:val="0"/>
    <w:pPr>
      <w:ind w:firstLine="0" w:firstLineChars="0"/>
    </w:pPr>
  </w:style>
  <w:style w:type="paragraph" w:customStyle="1" w:styleId="125">
    <w:name w:val="正文图标题"/>
    <w:next w:val="21"/>
    <w:qFormat/>
    <w:uiPriority w:val="0"/>
    <w:pPr>
      <w:numPr>
        <w:ilvl w:val="0"/>
        <w:numId w:val="17"/>
      </w:numPr>
      <w:spacing w:beforeLines="50" w:afterLines="50"/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26">
    <w:name w:val="终结线"/>
    <w:basedOn w:val="1"/>
    <w:qFormat/>
    <w:uiPriority w:val="0"/>
    <w:pPr>
      <w:framePr w:hSpace="181" w:vSpace="181" w:wrap="around" w:vAnchor="text" w:hAnchor="margin" w:xAlign="center" w:y="285"/>
    </w:pPr>
  </w:style>
  <w:style w:type="paragraph" w:customStyle="1" w:styleId="127">
    <w:name w:val="其他发布日期"/>
    <w:qFormat/>
    <w:uiPriority w:val="0"/>
    <w:pPr>
      <w:framePr w:w="3997" w:h="471" w:hRule="exact" w:vSpace="181" w:wrap="around" w:vAnchor="page" w:hAnchor="page" w:x="1419" w:y="14097" w:anchorLock="1"/>
    </w:pPr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128">
    <w:name w:val="其他实施日期"/>
    <w:basedOn w:val="111"/>
    <w:qFormat/>
    <w:uiPriority w:val="0"/>
  </w:style>
  <w:style w:type="paragraph" w:customStyle="1" w:styleId="129">
    <w:name w:val="封面标准名称2"/>
    <w:basedOn w:val="75"/>
    <w:qFormat/>
    <w:uiPriority w:val="0"/>
    <w:pPr>
      <w:framePr w:y="4469"/>
      <w:spacing w:beforeLines="630"/>
    </w:pPr>
  </w:style>
  <w:style w:type="paragraph" w:customStyle="1" w:styleId="130">
    <w:name w:val="封面标准英文名称2"/>
    <w:basedOn w:val="76"/>
    <w:qFormat/>
    <w:uiPriority w:val="0"/>
    <w:pPr>
      <w:framePr w:y="4469"/>
    </w:pPr>
  </w:style>
  <w:style w:type="paragraph" w:customStyle="1" w:styleId="131">
    <w:name w:val="封面一致性程度标识2"/>
    <w:basedOn w:val="77"/>
    <w:qFormat/>
    <w:uiPriority w:val="0"/>
    <w:pPr>
      <w:framePr w:y="4469"/>
    </w:pPr>
  </w:style>
  <w:style w:type="paragraph" w:customStyle="1" w:styleId="132">
    <w:name w:val="封面标准文稿类别2"/>
    <w:basedOn w:val="78"/>
    <w:qFormat/>
    <w:uiPriority w:val="0"/>
    <w:pPr>
      <w:framePr w:y="4469"/>
    </w:pPr>
  </w:style>
  <w:style w:type="paragraph" w:customStyle="1" w:styleId="133">
    <w:name w:val="封面标准文稿编辑信息2"/>
    <w:basedOn w:val="79"/>
    <w:qFormat/>
    <w:uiPriority w:val="0"/>
    <w:pPr>
      <w:framePr w:y="4469"/>
    </w:pPr>
  </w:style>
  <w:style w:type="paragraph" w:customStyle="1" w:styleId="134">
    <w:name w:val="标准名称"/>
    <w:basedOn w:val="47"/>
    <w:link w:val="137"/>
    <w:qFormat/>
    <w:uiPriority w:val="0"/>
  </w:style>
  <w:style w:type="character" w:customStyle="1" w:styleId="135">
    <w:name w:val="占位符文本1"/>
    <w:basedOn w:val="29"/>
    <w:semiHidden/>
    <w:qFormat/>
    <w:uiPriority w:val="99"/>
    <w:rPr>
      <w:color w:val="808080"/>
    </w:rPr>
  </w:style>
  <w:style w:type="character" w:customStyle="1" w:styleId="136">
    <w:name w:val="目次、标准名称标题 Char"/>
    <w:basedOn w:val="29"/>
    <w:link w:val="47"/>
    <w:qFormat/>
    <w:uiPriority w:val="0"/>
    <w:rPr>
      <w:rFonts w:ascii="黑体" w:eastAsia="黑体"/>
      <w:sz w:val="32"/>
      <w:shd w:val="clear" w:color="FFFFFF" w:fill="FFFFFF"/>
    </w:rPr>
  </w:style>
  <w:style w:type="character" w:customStyle="1" w:styleId="137">
    <w:name w:val="标准名称 Char"/>
    <w:basedOn w:val="136"/>
    <w:link w:val="134"/>
    <w:qFormat/>
    <w:uiPriority w:val="0"/>
    <w:rPr>
      <w:rFonts w:ascii="黑体" w:eastAsia="黑体"/>
      <w:sz w:val="32"/>
      <w:shd w:val="clear" w:color="FFFFFF" w:fill="FFFFFF"/>
    </w:rPr>
  </w:style>
  <w:style w:type="character" w:customStyle="1" w:styleId="138">
    <w:name w:val="批注框文本 字符"/>
    <w:basedOn w:val="29"/>
    <w:link w:val="14"/>
    <w:qFormat/>
    <w:uiPriority w:val="0"/>
    <w:rPr>
      <w:kern w:val="2"/>
      <w:sz w:val="18"/>
      <w:szCs w:val="18"/>
    </w:rPr>
  </w:style>
  <w:style w:type="paragraph" w:customStyle="1" w:styleId="139">
    <w:name w:val="Char Char Char1 Char Char Char Char Char Char Char"/>
    <w:basedOn w:val="1"/>
    <w:qFormat/>
    <w:uiPriority w:val="0"/>
    <w:rPr>
      <w:rFonts w:ascii="Arial" w:hAnsi="Arial" w:cs="Arial"/>
      <w:sz w:val="20"/>
      <w:szCs w:val="20"/>
    </w:rPr>
  </w:style>
  <w:style w:type="character" w:customStyle="1" w:styleId="140">
    <w:name w:val="页脚 字符"/>
    <w:basedOn w:val="29"/>
    <w:link w:val="15"/>
    <w:qFormat/>
    <w:uiPriority w:val="99"/>
    <w:rPr>
      <w:kern w:val="2"/>
      <w:sz w:val="18"/>
      <w:szCs w:val="18"/>
    </w:rPr>
  </w:style>
  <w:style w:type="paragraph" w:customStyle="1" w:styleId="141">
    <w:name w:val="标准文件_目录标题"/>
    <w:basedOn w:val="1"/>
    <w:qFormat/>
    <w:uiPriority w:val="0"/>
    <w:pPr>
      <w:spacing w:before="480" w:afterLines="150" w:line="240" w:lineRule="auto"/>
      <w:jc w:val="center"/>
    </w:pPr>
    <w:rPr>
      <w:rFonts w:ascii="黑体" w:eastAsia="黑体"/>
      <w:sz w:val="32"/>
    </w:rPr>
  </w:style>
  <w:style w:type="paragraph" w:customStyle="1" w:styleId="142">
    <w:name w:val="标准文件_页眉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黑体" w:hAnsi="宋体" w:eastAsia="黑体" w:cs="Times New Roman"/>
      <w:sz w:val="21"/>
      <w:lang w:val="en-US" w:eastAsia="zh-CN" w:bidi="ar-SA"/>
    </w:rPr>
  </w:style>
  <w:style w:type="paragraph" w:customStyle="1" w:styleId="143">
    <w:name w:val="标准文件_页眉偶数页"/>
    <w:basedOn w:val="142"/>
    <w:next w:val="1"/>
    <w:qFormat/>
    <w:uiPriority w:val="0"/>
    <w:pPr>
      <w:jc w:val="left"/>
    </w:pPr>
  </w:style>
  <w:style w:type="paragraph" w:customStyle="1" w:styleId="144">
    <w:name w:val="标准文件_页脚奇数页"/>
    <w:qFormat/>
    <w:uiPriority w:val="0"/>
    <w:pPr>
      <w:ind w:right="227"/>
      <w:jc w:val="right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45">
    <w:name w:val="标准文件_页脚偶数页"/>
    <w:qFormat/>
    <w:uiPriority w:val="0"/>
    <w:pPr>
      <w:ind w:left="198"/>
    </w:pPr>
    <w:rPr>
      <w:rFonts w:ascii="宋体" w:hAnsi="Times New Roman" w:eastAsia="宋体" w:cs="Times New Roman"/>
      <w:sz w:val="18"/>
      <w:lang w:val="en-US" w:eastAsia="zh-CN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3.xml"/><Relationship Id="rId8" Type="http://schemas.openxmlformats.org/officeDocument/2006/relationships/header" Target="header4.xml"/><Relationship Id="rId7" Type="http://schemas.openxmlformats.org/officeDocument/2006/relationships/header" Target="header3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8" Type="http://schemas.openxmlformats.org/officeDocument/2006/relationships/glossaryDocument" Target="glossary/document.xml"/><Relationship Id="rId17" Type="http://schemas.openxmlformats.org/officeDocument/2006/relationships/fontTable" Target="fontTable.xml"/><Relationship Id="rId16" Type="http://schemas.microsoft.com/office/2006/relationships/keyMapCustomizations" Target="customizations.xml"/><Relationship Id="rId15" Type="http://schemas.openxmlformats.org/officeDocument/2006/relationships/numbering" Target="numbering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6.xml"/><Relationship Id="rId11" Type="http://schemas.openxmlformats.org/officeDocument/2006/relationships/footer" Target="footer5.xml"/><Relationship Id="rId10" Type="http://schemas.openxmlformats.org/officeDocument/2006/relationships/footer" Target="footer4.xml"/><Relationship Id="rId1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docParts>
    <w:docPart>
      <w:docPartPr>
        <w:name w:val="111"/>
        <w:style w:val=""/>
        <w:category>
          <w:name w:val="常规"/>
          <w:gallery w:val="placeholder"/>
        </w:category>
        <w:types>
          <w:type w:val="bbPlcHdr"/>
        </w:types>
        <w:behaviors>
          <w:behavior w:val="content"/>
        </w:behaviors>
        <w:description w:val=""/>
        <w:guid w:val="{028989F2-0355-49D4-BDA6-4D56B5D374C0}"/>
      </w:docPartPr>
      <w:docPartBody>
        <w:p>
          <w:pPr>
            <w:pStyle w:val="7"/>
          </w:pPr>
          <w:r>
            <w:rPr>
              <w:rStyle w:val="4"/>
              <w:rFonts w:hint="eastAsia"/>
            </w:rPr>
            <w:t>标准名称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doNotDisplayPageBoundaries w:val="1"/>
  <w:bordersDoNotSurroundHeader w:val="1"/>
  <w:bordersDoNotSurroundFooter w:val="1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</w:compat>
  <w:rsids>
    <w:rsidRoot w:val="004F113A"/>
    <w:rsid w:val="0002647A"/>
    <w:rsid w:val="0002653F"/>
    <w:rsid w:val="00080DE3"/>
    <w:rsid w:val="00087E40"/>
    <w:rsid w:val="000C73CF"/>
    <w:rsid w:val="001132F9"/>
    <w:rsid w:val="00114ABC"/>
    <w:rsid w:val="001C16E0"/>
    <w:rsid w:val="002068C7"/>
    <w:rsid w:val="002600C7"/>
    <w:rsid w:val="00323E80"/>
    <w:rsid w:val="003278EA"/>
    <w:rsid w:val="003372E5"/>
    <w:rsid w:val="003750AF"/>
    <w:rsid w:val="00430F92"/>
    <w:rsid w:val="004F113A"/>
    <w:rsid w:val="004F1EC5"/>
    <w:rsid w:val="00515A81"/>
    <w:rsid w:val="005335DD"/>
    <w:rsid w:val="00550BBB"/>
    <w:rsid w:val="00595E09"/>
    <w:rsid w:val="00674FBA"/>
    <w:rsid w:val="006D02E4"/>
    <w:rsid w:val="007216E9"/>
    <w:rsid w:val="00767E06"/>
    <w:rsid w:val="007C6ACB"/>
    <w:rsid w:val="007E2797"/>
    <w:rsid w:val="00800293"/>
    <w:rsid w:val="00820E7E"/>
    <w:rsid w:val="00845F8C"/>
    <w:rsid w:val="00855C4F"/>
    <w:rsid w:val="008E024D"/>
    <w:rsid w:val="008F0185"/>
    <w:rsid w:val="008F0268"/>
    <w:rsid w:val="00902EF8"/>
    <w:rsid w:val="00982DAC"/>
    <w:rsid w:val="009B16B1"/>
    <w:rsid w:val="009C743F"/>
    <w:rsid w:val="00A94E45"/>
    <w:rsid w:val="00AD6808"/>
    <w:rsid w:val="00B22E5E"/>
    <w:rsid w:val="00B717AC"/>
    <w:rsid w:val="00BA2824"/>
    <w:rsid w:val="00BB7085"/>
    <w:rsid w:val="00BC67AA"/>
    <w:rsid w:val="00C875D2"/>
    <w:rsid w:val="00CA07D4"/>
    <w:rsid w:val="00CB0B2B"/>
    <w:rsid w:val="00D4454B"/>
    <w:rsid w:val="00D65DD7"/>
    <w:rsid w:val="00D94B66"/>
    <w:rsid w:val="00DA4409"/>
    <w:rsid w:val="00E45A51"/>
    <w:rsid w:val="00E857F8"/>
    <w:rsid w:val="00E95A08"/>
    <w:rsid w:val="00EA15BD"/>
    <w:rsid w:val="00EA32AC"/>
    <w:rsid w:val="00F322FE"/>
    <w:rsid w:val="00F51CD1"/>
    <w:rsid w:val="00F93653"/>
    <w:rsid w:val="00FF0B73"/>
    <w:rsid w:val="00FF0EC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glossary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iPriority="1" w:name="Default Paragraph Font"/>
    <w:lsdException w:qFormat="1" w:uiPriority="99" w:name="Normal Table"/>
  </w:latentStyles>
  <w:style w:type="paragraph" w:default="1" w:styleId="1">
    <w:name w:val="Normal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3276"/>
      <w:szCs w:val="3276"/>
      <w:lang w:val="en-US" w:eastAsia="zh-CN" w:bidi="ar-SA"/>
    </w:rPr>
  </w:style>
  <w:style w:type="character" w:default="1" w:styleId="2">
    <w:name w:val="Default Paragraph Font"/>
    <w:semiHidden/>
    <w:unhideWhenUsed/>
    <w:qFormat/>
    <w:uiPriority w:val="1"/>
  </w:style>
  <w:style w:type="table" w:default="1" w:styleId="3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占位符文本1"/>
    <w:basedOn w:val="2"/>
    <w:semiHidden/>
    <w:qFormat/>
    <w:uiPriority w:val="99"/>
    <w:rPr>
      <w:color w:val="808080"/>
    </w:rPr>
  </w:style>
  <w:style w:type="paragraph" w:customStyle="1" w:styleId="5">
    <w:name w:val="111"/>
    <w:qFormat/>
    <w:uiPriority w:val="0"/>
    <w:pPr>
      <w:widowControl w:val="0"/>
      <w:jc w:val="both"/>
    </w:pPr>
    <w:rPr>
      <w:rFonts w:cs="Times New Roman" w:asciiTheme="minorHAnsi" w:hAnsiTheme="minorHAnsi" w:eastAsiaTheme="minorEastAsia"/>
      <w:kern w:val="2"/>
      <w:sz w:val="3276"/>
      <w:szCs w:val="3276"/>
      <w:lang w:val="en-US" w:eastAsia="zh-CN" w:bidi="ar-SA"/>
    </w:rPr>
  </w:style>
  <w:style w:type="paragraph" w:customStyle="1" w:styleId="6">
    <w:name w:val="1111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7">
    <w:name w:val="1112"/>
    <w:qFormat/>
    <w:uiPriority w:val="0"/>
    <w:pPr>
      <w:keepNext/>
      <w:pageBreakBefore/>
      <w:shd w:val="clear" w:color="FFFFFF" w:fill="FFFFFF"/>
      <w:spacing w:before="640" w:after="560" w:line="460" w:lineRule="exact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</w:style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zle</Company>
  <Pages>6</Pages>
  <Words>2071</Words>
  <Characters>2728</Characters>
  <Lines>19</Lines>
  <Paragraphs>5</Paragraphs>
  <TotalTime>13</TotalTime>
  <ScaleCrop>false</ScaleCrop>
  <LinksUpToDate>false</LinksUpToDate>
  <CharactersWithSpaces>2758</CharactersWithSpaces>
  <Application>WPS Office_10.8.2.6613_F1E327BC-269C-435d-A152-05C5408002CA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2019-02-18T01:17:00Z</dcterms:created>
  <dc:creator>Administrator</dc:creator>
  <cp:lastModifiedBy>hhzpz</cp:lastModifiedBy>
  <cp:lastPrinted>2024-06-18T08:22:00Z</cp:lastPrinted>
  <dcterms:modified xsi:type="dcterms:W3CDTF">2024-08-16T07:53:38Z</dcterms:modified>
  <dc:title>标准名称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2052-10.8.2.6613</vt:lpwstr>
  </property>
  <property fmtid="{D5CDD505-2E9C-101B-9397-08002B2CF9AE}" pid="3" name="ICV">
    <vt:lpwstr>F551D206C4C444C8B0B2A2B28D3FA2EC_13</vt:lpwstr>
  </property>
</Properties>
</file>